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6"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5"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4"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A członkowie niezgadzającej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63"/>
      </w:r>
      <w:r>
        <w:t xml:space="preserve"> </w:t>
      </w:r>
      <w:r>
        <w:t xml:space="preserve">Ale gdyby te trzy „typy tekstów” były równe, w jaki sposób tak zwany „bizantyjski” mógłby kiedykolwiek uzyskać przewagę wynoszącą 90–95%?</w:t>
      </w:r>
    </w:p>
    <w:p>
      <w:pPr>
        <w:pStyle w:val="BodyText"/>
      </w:pPr>
      <w:r>
        <w:t xml:space="preserve">I see no way of accounting for a 95% (or 90%) domination unless that text goes back to the Autographs. Hort saw the problem and invented a revision. Sturz seems not to have seen the problem. He demonstrates that the “Byzantine text-type” is early and independent of the “Western” and “Alexandrian text-types”, and like von Soden, wishes to treat them as three equal witnesses.2 But if the three</w:t>
      </w:r>
      <w:r>
        <w:t xml:space="preserve"> </w:t>
      </w:r>
      <w:r>
        <w:t xml:space="preserve">“text-types”</w:t>
      </w:r>
      <w:r>
        <w:t xml:space="preserve"> </w:t>
      </w:r>
      <w:r>
        <w:t xml:space="preserve">were equal, how could the so-called “Byzantine” ever gain a 90-95% preponderance?</w:t>
      </w:r>
    </w:p>
    <w:bookmarkEnd w:id="164"/>
    <w:bookmarkEnd w:id="165"/>
    <w:bookmarkEnd w:id="1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 w:id="163">
    <w:p>
      <w:pPr>
        <w:pStyle w:val="FootnoteText"/>
      </w:pPr>
      <w:r>
        <w:rPr>
          <w:rStyle w:val="FootnoteReference"/>
        </w:rPr>
        <w:footnoteRef/>
      </w:r>
      <w:r>
        <w:t xml:space="preserve"> </w:t>
      </w:r>
      <w:r>
        <w:t xml:space="preserve">Sturz, op. cit.[łac.</w:t>
      </w:r>
      <w:r>
        <w:t xml:space="preserve"> </w:t>
      </w:r>
      <w:r>
        <w:rPr>
          <w:i/>
          <w:iCs/>
        </w:rPr>
        <w:t xml:space="preserve">opus citatum</w:t>
      </w:r>
      <w:r>
        <w:t xml:space="preserve"> </w:t>
      </w:r>
      <w:r>
        <w:t xml:space="preserve">- „w cytowanym dziele” / „dzieło cytowane”, przyp. tłum.] Tekst powstały przez przyjęcie dwóch „typów tekstów” przeciw jednemu przesunąłby tekst UBS[tekst UBS to tekst krytyczny wydawany przez United Bible Societies, przyp. tłum.] o około 80% drogi w kierunku tekstu większościowego.</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2026-05-25T04:06:51Z</dcterms:created>
  <dcterms:modified xsi:type="dcterms:W3CDTF">2026-05-25T04:06:51Z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