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 wydawnictwa</w:t>
      </w:r>
      <w:r>
        <w:t xml:space="preserve"> </w:t>
      </w:r>
      <w:hyperlink r:id="rId10">
        <w:r>
          <w:rPr>
            <w:rStyle w:val="Hyperlink"/>
          </w:rPr>
          <w:t xml:space="preserve">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w:t>
      </w:r>
      <w:r>
        <w:t xml:space="preserve"> </w:t>
      </w:r>
      <w:r>
        <w:rPr>
          <w:i/>
          <w:iCs/>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7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7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65"/>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
          <w:bCs/>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
          <w:bCs/>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66"/>
    <w:bookmarkStart w:id="174"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
          <w:iCs/>
        </w:rPr>
        <w:t xml:space="preserve">Kurzgefasste Liste</w:t>
      </w:r>
      <w:r>
        <w:t xml:space="preserve">.</w:t>
      </w:r>
      <w:r>
        <w:rPr>
          <w:rStyle w:val="FootnoteReference"/>
        </w:rPr>
        <w:footnoteReference w:id="167"/>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68"/>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69"/>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
          <w:bCs/>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70"/>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71"/>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72"/>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73"/>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
          <w:bCs/>
        </w:rPr>
        <w:t xml:space="preserve">Tekstem Kościoła</w:t>
      </w:r>
      <w:r>
        <w:t xml:space="preserve">.</w:t>
      </w:r>
    </w:p>
    <w:bookmarkEnd w:id="174"/>
    <w:bookmarkEnd w:id="175"/>
    <w:bookmarkStart w:id="176" w:name="uwagi-końcowe"/>
    <w:p>
      <w:pPr>
        <w:pStyle w:val="Heading2"/>
      </w:pPr>
      <w:r>
        <w:t xml:space="preserve">Uwagi końcowe</w:t>
      </w:r>
    </w:p>
    <w:p>
      <w:pPr>
        <w:pStyle w:val="FirstParagraph"/>
      </w:pPr>
      <w:r>
        <w:t xml:space="preserve">Up to this point I have dealt with the broad river of the normal transmission of the NT Text. This broad river is commonly referred to as the ‘Byzantine’ text or text-type. But this broad river is made up of many distinct lines of transmission within it—recall that F. Wisse posited 36 such lines, based on his study of Luke, chapters 1, 10 and 20. Among those 36 lines, one is by far the largest, in terms of the number of representative MSS, and I will argue that it is also clearly the best. I call that line of transmission ‘Family 35’, and my discussion of that ‘family’ occupies Part II.1 There I will argue that Family 35 constitutes the ultimate proof that God has preserved the NT Text.</w:t>
      </w:r>
    </w:p>
    <w:p>
      <w:pPr>
        <w:pStyle w:val="BodyText"/>
      </w:pPr>
      <w:r>
        <w:t xml:space="preserve">Given my presuppositions, I consider that I have good reason for declaring the divine preservation of the precise original wording of the complete New Testament Text, to this day. That wording is reproduced in my edition of the Greek NT,</w:t>
      </w:r>
      <w:r>
        <w:t xml:space="preserve"> </w:t>
      </w:r>
      <w:r>
        <w:rPr>
          <w:i/>
          <w:iCs/>
        </w:rPr>
        <w:t xml:space="preserve">The Greek New Testament According to Family 35</w:t>
      </w:r>
      <w:r>
        <w:t xml:space="preserve">. The book may be ordered from Amazon.com, and it may be downloaded from my site, www.prunch.org. I here list my conclusions, promising the reader that I will then give the evidence that leads to those conclusions (besides that already given above).</w:t>
      </w:r>
    </w:p>
    <w:p>
      <w:pPr>
        <w:pStyle w:val="BodyText"/>
      </w:pPr>
      <w:r>
        <w:t xml:space="preserve">On the basis of the evidence so far available I affirm the following:</w:t>
      </w:r>
    </w:p>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w:t>
      </w:r>
      <w:r>
        <w:t xml:space="preserve"> </w:t>
      </w:r>
      <w:r>
        <w:rPr>
          <w:i/>
          <w:iCs/>
        </w:rPr>
        <w:t xml:space="preserve">Op. Cit.</w:t>
      </w:r>
      <w:r>
        <w:t xml:space="preserve"> </w:t>
      </w:r>
      <w:r>
        <w:t xml:space="preserve">[łac.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7">
    <w:p>
      <w:pPr>
        <w:pStyle w:val="FootnoteText"/>
      </w:pPr>
      <w:r>
        <w:rPr>
          <w:rStyle w:val="FootnoteReference"/>
        </w:rPr>
        <w:footnoteRef/>
      </w:r>
      <w:r>
        <w:t xml:space="preserve"> </w:t>
      </w:r>
      <w:r>
        <w:t xml:space="preserve">Kurt Aland (red.),</w:t>
      </w:r>
      <w:r>
        <w:t xml:space="preserve"> </w:t>
      </w:r>
      <w:r>
        <w:rPr>
          <w:i/>
          <w:iCs/>
        </w:rPr>
        <w:t xml:space="preserve">Kurzgefasste Liste der Grieshischen Handschriften des Neuen Testaments</w:t>
      </w:r>
      <w:r>
        <w:t xml:space="preserve"> </w:t>
      </w:r>
      <w:r>
        <w:t xml:space="preserve">[</w:t>
      </w:r>
      <w:r>
        <w:rPr>
          <w:i/>
          <w:iCs/>
        </w:rPr>
        <w:t xml:space="preserve">Skrócona lista rękopisów Nowego Testamentu w języku griesh</w:t>
      </w:r>
      <w:r>
        <w:t xml:space="preserve">, przyp. tłum.] (Berlin: Walter de Gruyter, 1994).</w:t>
      </w:r>
    </w:p>
  </w:footnote>
  <w:footnote w:id="168">
    <w:p>
      <w:pPr>
        <w:pStyle w:val="FootnoteText"/>
      </w:pPr>
      <w:r>
        <w:rPr>
          <w:rStyle w:val="FootnoteReference"/>
        </w:rPr>
        <w:footnoteRef/>
      </w:r>
      <w:r>
        <w:t xml:space="preserve"> </w:t>
      </w:r>
      <w:r>
        <w:t xml:space="preserve">Ten akapit, jak i następny, opierają się po prostu na</w:t>
      </w:r>
      <w:r>
        <w:t xml:space="preserve"> </w:t>
      </w:r>
      <w:r>
        <w:rPr>
          <w:i/>
          <w:iCs/>
        </w:rPr>
        <w:t xml:space="preserve">Liste</w:t>
      </w:r>
      <w:r>
        <w:t xml:space="preserve"> </w:t>
      </w:r>
      <w:r>
        <w:t xml:space="preserve">(niezależnie od tego, czy się zgadzam, czy nie).</w:t>
      </w:r>
    </w:p>
  </w:footnote>
  <w:footnote w:id="169">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70">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
          <w:iCs/>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71">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Footnote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
          <w:iCs/>
        </w:rPr>
        <w:t xml:space="preserve">rzadko</w:t>
      </w:r>
      <w:r>
        <w:t xml:space="preserve"> </w:t>
      </w:r>
      <w:r>
        <w:t xml:space="preserve">i</w:t>
      </w:r>
      <w:r>
        <w:t xml:space="preserve"> </w:t>
      </w:r>
      <w:r>
        <w:rPr>
          <w:i/>
          <w:iCs/>
        </w:rPr>
        <w:t xml:space="preserve">sporadycznie</w:t>
      </w:r>
      <w:r>
        <w:t xml:space="preserve">, a wprowadzone poprawki w niewielkim stopniu lub wcale nie były przenoszone na różnorodne przedstawione typy (kursywa autora, podobnie poniżej).</w:t>
      </w:r>
    </w:p>
    <w:p>
      <w:pPr>
        <w:pStyle w:val="Footnote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
          <w:iCs/>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FootnoteBlockText"/>
      </w:pPr>
      <w:r>
        <w:t xml:space="preserve">Since this is the case, the phenomenon of the relatively unified Byzantine Textform</w:t>
      </w:r>
      <w:r>
        <w:t xml:space="preserve"> </w:t>
      </w:r>
      <w:r>
        <w:rPr>
          <w:i/>
          <w:iCs/>
        </w:rPr>
        <w:t xml:space="preserve">cannot</w:t>
      </w:r>
      <w:r>
        <w:t xml:space="preserve"> </w:t>
      </w:r>
      <w:r>
        <w:t xml:space="preserve">be explained by a “process” methodology, whether “modified” or not…</w:t>
      </w:r>
    </w:p>
    <w:p>
      <w:pPr>
        <w:pStyle w:val="FootnoteBlockText"/>
      </w:pPr>
      <w:r>
        <w:t xml:space="preserve">Skoro tak jest, fenomenu stosunkowo jednolitej bizantyjskiej formy tekstowej</w:t>
      </w:r>
      <w:r>
        <w:t xml:space="preserve"> </w:t>
      </w:r>
      <w:r>
        <w:rPr>
          <w:i/>
          <w:iCs/>
        </w:rPr>
        <w:t xml:space="preserve">nie da się</w:t>
      </w:r>
      <w:r>
        <w:t xml:space="preserve"> </w:t>
      </w:r>
      <w:r>
        <w:t xml:space="preserve">wyjaśnić metodologią „procesową”, niezależnie od tego, czy jest ona „zmodyfikowana”, czy nie…</w:t>
      </w:r>
    </w:p>
    <w:p>
      <w:pPr>
        <w:pStyle w:val="FootnoteBlockText"/>
      </w:pPr>
      <w:r>
        <w:t xml:space="preserve">Based upon the collated data, the present writer is forced to reverse his previous as-sumptions regarding the development and restoration/preservation of the Byzantine Textform in this sense: although textual transmission itself is a process, it appears that, for the most part, the lines of transmission remained separate, with relatively little mixture occurring or becoming perpetuated…</w:t>
      </w:r>
    </w:p>
    <w:p>
      <w:pPr>
        <w:pStyle w:val="FootnoteBlockText"/>
      </w:pPr>
      <w:r>
        <w:t xml:space="preserve">Na podstawie zebranych danych autor niniejszego artykułu zmuszony jest zmienić swoje wcześniejsze założenia dotyczące rozwoju oraz odtworzenia/zachowania formy tekstowej bizantyjskiej w tym sensie: choć sama transmisja tekstu jest procesem, wydaje się, iż w większości przypadków linie transmisji pozostawały odrębne, a mieszanie się tekstów występowało i utrwalało się w stosunkowo niewielkim stopniu…</w:t>
      </w:r>
    </w:p>
    <w:p>
      <w:pPr>
        <w:pStyle w:val="FootnoteBlockText"/>
      </w:pPr>
      <w:r>
        <w:t xml:space="preserve">Certainly, all the types of PA text are distinct, and reflect a long line of transmission and preservation in their separate integrities… It thus appears that the Byzantine minuscule MSS preserve lines of transmission which are not only independent but which of necessity had their origin at a time well before the 9th century. The extant uncial MSS do not and cannot account for the diversity and stability of PA textual forms found among even the earliest minuscules of the 9th century, let alone the diversity and stability of forms which appear throughout all centuries of the minuscule-era. The lack of extensive cross-comparison and correction demonstrated in the extant MSS containing the PA precludes the easy development of any existing form of the PA text from any other form of the PA text during at least the vellum era. The early uncials which contain the PA demonstrate widelydiffering lines of transmission, but not all of the known lines. Nor do the uncials or minuscules show any indication of any known line deriving from a parallel known line. The 10 or so “texttype” lines of transmission remain independent and must necessarily extend back to a point long before their separate stabilizations occurred—a point which seems buried (as Colwell and Scrivener suggested) deep within the second century. (“Preliminary Observations regarding the</w:t>
      </w:r>
      <w:r>
        <w:t xml:space="preserve"> </w:t>
      </w:r>
      <w:r>
        <w:rPr>
          <w:i/>
          <w:iCs/>
        </w:rPr>
        <w:t xml:space="preserve">Pericope Adulterae</w:t>
      </w:r>
      <w:r>
        <w:t xml:space="preserve"> </w:t>
      </w:r>
      <w:r>
        <w:t xml:space="preserve">based upon Fresh Collations of nearly all Continuous-Text Manuscripts and over One Hundred Lectionaries”, presented to the Evangelical Theological Society, Nov. 1998, pp. 11-13.)</w:t>
      </w:r>
    </w:p>
  </w:footnote>
  <w:footnote w:id="172">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8NS:131-144 (actually published in 1989), pp. 142-143.</w:t>
      </w:r>
    </w:p>
  </w:footnote>
  <w:footnote w:id="173">
    <w:p>
      <w:pPr>
        <w:pStyle w:val="FootnoteText"/>
      </w:pPr>
      <w:r>
        <w:rPr>
          <w:rStyle w:val="FootnoteReference"/>
        </w:rPr>
        <w:footnoteRef/>
      </w:r>
      <w:r>
        <w:t xml:space="preserve"> </w:t>
      </w:r>
      <w:r>
        <w:rPr>
          <w:i/>
          <w:iCs/>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2026-07-02T05:49:53Z</dcterms:created>
  <dcterms:modified xsi:type="dcterms:W3CDTF">2026-07-02T05:49:53Z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