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7"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5"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W tym miejscu z całą mocą pojawia się argument oparty na prawdopodobieństwie statystycznym. Zachowane manuskrypty nie tylko przedstawiają nam jedną formę tekstową, która cieszy się 95-procentową przewagą, ale pozostałe 5% nie stanowi żadnej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słowo „Bóg”, podczas gdy tylko dziewięć odczytów zawiera inne słowo. Spośród tych dziewięciu odczytów, trzy mają odczyty prywatne, a sześć zgadza się co do odczytu „kto”.</w:t>
      </w:r>
      <w:r>
        <w:rPr>
          <w:rStyle w:val="FootnoteReference"/>
        </w:rPr>
        <w:footnoteReference w:id="164"/>
      </w:r>
      <w:r>
        <w:t xml:space="preserve"> </w:t>
      </w:r>
      <w:r>
        <w:t xml:space="preserve">Musimy więc rozstrzygać między 98,5% a 1%, „Bóg” kontra „kto”. Trudno wyobrazić sobie jakikolwiek zestaw okoliczności w historii przekazywania, który wystarczyłby do wywołania katastrofalnego przewrotu w prawdopodobieństwie statystycznym, wymaganego przez twierdzenie, że „kto” jest odczytem oryginalnym.</w:t>
      </w:r>
    </w:p>
    <w:p>
      <w:pPr>
        <w:pStyle w:val="BodyText"/>
      </w:pPr>
      <w:r>
        <w:t xml:space="preserve">The argument from statistical probability enters here with a vengeance. Not only do the extant MSS present us with one text form enjoying a 95% majority, but the remaining 5% do not represent a single competing text form. The minority MSS disagree as much (or more) among themselves as they do with the majority. For any two of them to agree so closely as do P</w:t>
      </w:r>
      <w:r>
        <w:rPr>
          <w:vertAlign w:val="superscript"/>
        </w:rPr>
        <w:t xml:space="preserve">75</w:t>
      </w:r>
      <w:r>
        <w:t xml:space="preserve"> </w:t>
      </w:r>
      <w:r>
        <w:t xml:space="preserve">and B is an oddity. We are not judging, therefore, between two text forms, one representing 95% of the MSS and the other 5%. Rather, we have to judge between 95% and a fraction of 1% (comparing the Majority Text with the P</w:t>
      </w:r>
      <w:r>
        <w:rPr>
          <w:vertAlign w:val="superscript"/>
        </w:rPr>
        <w:t xml:space="preserve">75</w:t>
      </w:r>
      <w:r>
        <w:t xml:space="preserve">,B text form for example). Or to take a specific case, in 1 Timothy 3:16 some 600 Greek MSS (besides the Lectionaries) read “God” while only nine read something else. Of those nine, three have private readings and six agree in reading “who”.3 So we have to judge between 98.5% and 1%, “God” versus “who”. It is hard to imagine any possible set of circumstances in the transmissional history sufficient to produce the cataclysmic overthrow in statistical probability required by the claim that “who” is the original reading.</w:t>
      </w:r>
    </w:p>
    <w:bookmarkEnd w:id="165"/>
    <w:bookmarkEnd w:id="166"/>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 [łac.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 [ w formie:</w:t>
      </w:r>
      <w:r>
        <w:t xml:space="preserve"> </w:t>
      </w:r>
      <w:r>
        <w:rPr>
          <w:i/>
          <w:iCs/>
        </w:rPr>
        <w:t xml:space="preserve">grecka fraza</w:t>
      </w:r>
      <w:r>
        <w:t xml:space="preserve"> </w:t>
      </w:r>
      <w:r>
        <w:t xml:space="preserve">- identyfikatory manuskryptów, przyp. tłum.]:</w:t>
      </w:r>
    </w:p>
    <w:p>
      <w:pPr>
        <w:pStyle w:val="FootnoteText"/>
      </w:pPr>
      <w:r>
        <w:rPr>
          <w:i/>
          <w:iCs/>
        </w:rPr>
        <w:t xml:space="preserve">ο</w:t>
      </w:r>
      <w:r>
        <w:t xml:space="preserve"> </w:t>
      </w:r>
      <w:r>
        <w:t xml:space="preserve">– D</w:t>
      </w:r>
    </w:p>
    <w:p>
      <w:pPr>
        <w:pStyle w:val="FootnoteText"/>
      </w:pPr>
      <w:r>
        <w:rPr>
          <w:i/>
          <w:iCs/>
        </w:rPr>
        <w:t xml:space="preserve">ω</w:t>
      </w:r>
      <w:r>
        <w:t xml:space="preserve"> </w:t>
      </w:r>
      <w:r>
        <w:t xml:space="preserve">– 061</w:t>
      </w:r>
    </w:p>
    <w:p>
      <w:pPr>
        <w:pStyle w:val="FootnoteText"/>
      </w:pPr>
      <w:r>
        <w:rPr>
          <w:i/>
          <w:iCs/>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
          <w:iCs/>
        </w:rPr>
        <w:t xml:space="preserve">ος</w:t>
      </w:r>
      <w:r>
        <w:t xml:space="preserve"> </w:t>
      </w:r>
      <w:r>
        <w:t xml:space="preserve">– ℵ, 33, 365, 442, 1175, 2127 (plus trzy Lekcjonarze)</w:t>
      </w:r>
    </w:p>
    <w:p>
      <w:pPr>
        <w:pStyle w:val="FootnoteText"/>
      </w:pPr>
      <w:r>
        <w:rPr>
          <w:i/>
          <w:iCs/>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
          <w:iCs/>
        </w:rPr>
        <w:t xml:space="preserve">ο Θεος</w:t>
      </w:r>
      <w:r>
        <w:t xml:space="preserve"> </w:t>
      </w:r>
      <w:r>
        <w:t xml:space="preserve">oraz jeden lekcjonarz mający odczyt</w:t>
      </w:r>
      <w:r>
        <w:t xml:space="preserve"> </w:t>
      </w:r>
      <w:r>
        <w:rPr>
          <w:i/>
          <w:iCs/>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
          <w:iCs/>
        </w:rPr>
        <w:t xml:space="preserve">Θ</w:t>
      </w:r>
      <w:r>
        <w:t xml:space="preserve">, które dwadzieścia lat później (tj. w 1785 roku) przestały być dla niego widoczne” (</w:t>
      </w:r>
      <w:r>
        <w:rPr>
          <w:i/>
          <w:iCs/>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
          <w:iCs/>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
          <w:iCs/>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
          <w:bCs/>
        </w:rPr>
        <w:t xml:space="preserve">Kreska skrótu</w:t>
      </w:r>
      <w:r>
        <w:t xml:space="preserve">[ang.</w:t>
      </w:r>
      <w:r>
        <w:t xml:space="preserve"> </w:t>
      </w:r>
      <w:r>
        <w:rPr>
          <w:i/>
          <w:iCs/>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
          <w:iCs/>
        </w:rPr>
        <w:t xml:space="preserve">Ibid.</w:t>
      </w:r>
      <w:r>
        <w:t xml:space="preserve">, s. 437-438.</w:t>
      </w:r>
    </w:p>
    <w:p>
      <w:pPr>
        <w:pStyle w:val="FootnoteText"/>
      </w:pPr>
      <w:r>
        <w:t xml:space="preserve">W kodeksach F/G występuje odczyt</w:t>
      </w:r>
      <w:r>
        <w:t xml:space="preserve"> </w:t>
      </w:r>
      <w:r>
        <w:rPr>
          <w:i/>
          <w:iCs/>
        </w:rPr>
        <w:t xml:space="preserve">OC</w:t>
      </w:r>
      <w:r>
        <w:t xml:space="preserve">, gdzie kreska skrótu ma postać ukośnej kreski. Argumentowano, że kreska ta oznacza aspiratę [</w:t>
      </w:r>
      <w:r>
        <w:rPr>
          <w:i/>
          <w:iCs/>
        </w:rPr>
        <w:t xml:space="preserve">aspirata</w:t>
      </w:r>
      <w:r>
        <w:t xml:space="preserve"> </w:t>
      </w:r>
      <w:r>
        <w:t xml:space="preserve">- spółgłoska wymawiana z przydechem, czyli następującym po niej dźwiękiem przypominającym krótkie</w:t>
      </w:r>
      <w:r>
        <w:t xml:space="preserve"> </w:t>
      </w:r>
      <w:r>
        <w:t xml:space="preserve">‘h’</w:t>
      </w:r>
      <w:r>
        <w:t xml:space="preserve"> </w:t>
      </w:r>
      <w:r>
        <w:t xml:space="preserve">- https://sjp.pl/aspirata, przyp. tłum.]</w:t>
      </w:r>
      <w:r>
        <w:t xml:space="preserve"> </w:t>
      </w:r>
      <w:r>
        <w:rPr>
          <w:i/>
          <w:iCs/>
        </w:rPr>
        <w:t xml:space="preserve">ος</w:t>
      </w:r>
      <w:r>
        <w:t xml:space="preserve">, ale Burgon dowodzi, że omawiana kreska nigdy nie oznacza oddechu, lecz jest niezmiennie znakiem skrótu i potwierdza, że „</w:t>
      </w:r>
      <w:r>
        <w:rPr>
          <w:i/>
          <w:iCs/>
        </w:rPr>
        <w:t xml:space="preserve">ος</w:t>
      </w:r>
      <w:r>
        <w:t xml:space="preserve"> </w:t>
      </w:r>
      <w:r>
        <w:t xml:space="preserve">nie jest</w:t>
      </w:r>
      <w:r>
        <w:t xml:space="preserve"> </w:t>
      </w:r>
      <w:r>
        <w:rPr>
          <w:b/>
          <w:bCs/>
        </w:rPr>
        <w:t xml:space="preserve">nigdzie</w:t>
      </w:r>
      <w:r>
        <w:t xml:space="preserve"> </w:t>
      </w:r>
      <w:r>
        <w:t xml:space="preserve">indziej zapisane jako</w:t>
      </w:r>
      <w:r>
        <w:t xml:space="preserve"> </w:t>
      </w:r>
      <w:r>
        <w:rPr>
          <w:i/>
          <w:iCs/>
        </w:rPr>
        <w:t xml:space="preserve">OC</w:t>
      </w:r>
      <w:r>
        <w:t xml:space="preserve"> </w:t>
      </w:r>
      <w:r>
        <w:t xml:space="preserve">(z kreską) w żadnym z kodeksów” (</w:t>
      </w:r>
      <w:r>
        <w:rPr>
          <w:i/>
          <w:iCs/>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
          <w:iCs/>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
          <w:iCs/>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
          <w:iCs/>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terapętyczną reakcję na trudny odczyt. Chociaż dominuje ono w greckich manuskryptach (ponad 98 procent), to z pewnością potwierdzają je tylko dwie wersje: gruzińska i słowiańska (obie późniejsze). Dominuje ono jednak również wśród Greckich Ojców. Około 100 r. n.e. możliwe aluzje pojawiają się u Barnaby: „</w:t>
      </w:r>
      <w:r>
        <w:rPr>
          <w:i/>
          <w:iCs/>
        </w:rPr>
        <w:t xml:space="preserve">Ιησους … ο υιος του Θεου τυπω και εν σαρκι φανερωθεις</w:t>
      </w:r>
      <w:r>
        <w:t xml:space="preserve">” (rozdz. XII) oraz u Ignacego: „</w:t>
      </w:r>
      <w:r>
        <w:rPr>
          <w:i/>
          <w:iCs/>
        </w:rPr>
        <w:t xml:space="preserve">Θεου ανθρωπινως φανερουμενου</w:t>
      </w:r>
      <w:r>
        <w:t xml:space="preserve">” (</w:t>
      </w:r>
      <w:r>
        <w:rPr>
          <w:i/>
          <w:iCs/>
        </w:rPr>
        <w:t xml:space="preserve">Ad Ephes.</w:t>
      </w:r>
      <w:r>
        <w:t xml:space="preserve"> </w:t>
      </w:r>
      <w:r>
        <w:t xml:space="preserve">c. 19) oraz „</w:t>
      </w:r>
      <w:r>
        <w:rPr>
          <w:i/>
          <w:iCs/>
        </w:rPr>
        <w:t xml:space="preserve">εν σαρκι γενομενος Θεος</w:t>
      </w:r>
      <w:r>
        <w:t xml:space="preserve">” (</w:t>
      </w:r>
      <w:r>
        <w:rPr>
          <w:i/>
          <w:iCs/>
        </w:rPr>
        <w:t xml:space="preserve">Ibid.</w:t>
      </w:r>
      <w:r>
        <w:t xml:space="preserve">, c. 7). W III wieku wydają się istnieć wyraźne odniesienia u Hipolita: „</w:t>
      </w:r>
      <w:r>
        <w:rPr>
          <w:i/>
          <w:iCs/>
        </w:rPr>
        <w:t xml:space="preserve">Θεος εν σωματι εφανερωθη</w:t>
      </w:r>
      <w:r>
        <w:t xml:space="preserve">” (</w:t>
      </w:r>
      <w:r>
        <w:rPr>
          <w:i/>
          <w:iCs/>
        </w:rPr>
        <w:t xml:space="preserve">Contra Haeresim Noeti</w:t>
      </w:r>
      <w:r>
        <w:t xml:space="preserve">, c. xvii), u Dionizego: „* Θεος γαρ εφανερωθη εν σαρκι</w:t>
      </w:r>
      <w:r>
        <w:rPr>
          <w:i/>
          <w:iCs/>
        </w:rPr>
        <w:t xml:space="preserve">” (</w:t>
      </w:r>
      <w:r>
        <w:t xml:space="preserve">Concilia</w:t>
      </w:r>
      <w:r>
        <w:rPr>
          <w:i/>
          <w:iCs/>
        </w:rPr>
        <w:t xml:space="preserve">, i. 853a) oraz u Grzegorza Cudotwórcy: „</w:t>
      </w:r>
      <w:r>
        <w:t xml:space="preserve">και εστιν Θεος αληθινος ο ασαρκος εν σαρκι φανερωθεις</w:t>
      </w:r>
      <w:r>
        <w:rPr>
          <w:i/>
          <w:iCs/>
        </w:rP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rPr>
          <w:i/>
          <w:iCs/>
        </w:rPr>
        <w:t xml:space="preserve"> </w:t>
      </w:r>
      <w:r>
        <w:t xml:space="preserve">Ibid.*, s. 456–476, 486–490).</w:t>
      </w:r>
    </w:p>
    <w:p>
      <w:pPr>
        <w:pStyle w:val="FootnoteText"/>
      </w:pPr>
      <w:r>
        <w:t xml:space="preserve">Most modern scholars regard “God” as a separate therapeutic response to the difficult reading. Although it dominates the Greek MSS (over 98 percent), it is certainly attested by only two versions, the Georgian and Slavonic (both late). But it also dominates the Greek Fathers. Around AD 100 there are possible allusions in Barnabas, “</w:t>
      </w:r>
      <w:r>
        <w:rPr>
          <w:i/>
          <w:iCs/>
        </w:rPr>
        <w:t xml:space="preserve">Ιησους … ο υιος του Θεου τυπω και εν σαρκι φανερωθεις</w:t>
      </w:r>
      <w:r>
        <w:t xml:space="preserve">” (Cap. xii), and in Ignatius, “</w:t>
      </w:r>
      <w:r>
        <w:rPr>
          <w:i/>
          <w:iCs/>
        </w:rPr>
        <w:t xml:space="preserve">Θεου ανθρωπινως φανερουμενου</w:t>
      </w:r>
      <w:r>
        <w:t xml:space="preserve">” (Ad Ephes. c. 19) and “</w:t>
      </w:r>
      <w:r>
        <w:rPr>
          <w:i/>
          <w:iCs/>
        </w:rPr>
        <w:t xml:space="preserve">εν σαρκι γενομενος Θεος</w:t>
      </w:r>
      <w:r>
        <w:t xml:space="preserve">” (Ibid., c. 7). In the third century there seem to be clear references in Hippolytus, “</w:t>
      </w:r>
      <w:r>
        <w:rPr>
          <w:i/>
          <w:iCs/>
        </w:rPr>
        <w:t xml:space="preserve">Θεος εν σωματι εφανερωθη</w:t>
      </w:r>
      <w:r>
        <w:t xml:space="preserve">” (Contra Haeresim Noeti, c. xvii), Dionysius, “</w:t>
      </w:r>
      <w:r>
        <w:rPr>
          <w:i/>
          <w:iCs/>
        </w:rPr>
        <w:t xml:space="preserve">Θεος γαρ εφανερωθη εν σαρκι</w:t>
      </w:r>
      <w:r>
        <w:t xml:space="preserve">” (Concilia, i. 853a) and Gregory Thaumaturgus, “</w:t>
      </w:r>
      <w:r>
        <w:rPr>
          <w:i/>
          <w:iCs/>
        </w:rPr>
        <w:t xml:space="preserve">και εστιν Θεος αληθινος ο ασαρκος εν σαρκι φανερωθεις</w:t>
      </w:r>
      <w:r>
        <w:t xml:space="preserve">” (quoted by Photius). In the 4th century there are clear quotes or references in Gregory of Nyssa (22 times), Gregory of Nazianzus, Didymus of Alexandria, Diodorus, the Apostolic Constitutions, and Chrysostom, followed by Cyril of Alexandria, Theodoret, and Euthalius in the fifth century, and so on (Burgon, Ibid, pp. 456-476, 486-490).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2026-06-11T05:26:42Z</dcterms:created>
  <dcterms:modified xsi:type="dcterms:W3CDTF">2026-06-11T05:26:42Z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