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Override PartName="/word/media/rId15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66"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65"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21"/>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7"/>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8"/>
    <w:bookmarkStart w:id="153"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9"/>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40"/>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1"/>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2"/>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3"/>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4"/>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45"/>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46"/>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47"/>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48"/>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49"/>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50"/>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51"/>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52"/>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
          <w:bCs/>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53"/>
    <w:bookmarkStart w:id="164"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
          <w:iCs/>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55" name="Picture"/>
            <a:graphic>
              <a:graphicData uri="http://schemas.openxmlformats.org/drawingml/2006/picture">
                <pic:pic>
                  <pic:nvPicPr>
                    <pic:cNvPr descr="images/Rysunek_A.jpg" id="156" name="Picture"/>
                    <pic:cNvPicPr>
                      <a:picLocks noChangeArrowheads="1" noChangeAspect="1"/>
                    </pic:cNvPicPr>
                  </pic:nvPicPr>
                  <pic:blipFill>
                    <a:blip r:embed="rId154"/>
                    <a:stretch>
                      <a:fillRect/>
                    </a:stretch>
                  </pic:blipFill>
                  <pic:spPr bwMode="auto">
                    <a:xfrm>
                      <a:off x="0" y="0"/>
                      <a:ext cx="5334000" cy="3390972"/>
                    </a:xfrm>
                    <a:prstGeom prst="rect">
                      <a:avLst/>
                    </a:prstGeom>
                    <a:noFill/>
                    <a:ln w="9525">
                      <a:noFill/>
                      <a:headEnd/>
                      <a:tailEnd/>
                    </a:ln>
                  </pic:spPr>
                </pic:pic>
              </a:graphicData>
            </a:graphic>
          </wp:inline>
        </w:drawing>
      </w:r>
      <w:r>
        <w:br/>
      </w:r>
      <w:r>
        <w:rPr>
          <w:b/>
          <w:bCs/>
        </w:rPr>
        <w:t xml:space="preserve">Rysunek A</w:t>
      </w:r>
      <w:r>
        <w:rPr>
          <w:rStyle w:val="FootnoteReference"/>
        </w:rPr>
        <w:footnoteReference w:id="157"/>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58"/>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
          <w:iCs/>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59"/>
      </w:r>
      <w:r>
        <w:t xml:space="preserve"> </w:t>
      </w:r>
      <w:r>
        <w:t xml:space="preserve">Kiedy mówię, że Tekst Większościowy dominuje strumień, mam na myśli to, że jest on reprezentowany w około 95% manuskryptów.</w:t>
      </w:r>
      <w:r>
        <w:rPr>
          <w:rStyle w:val="FootnoteReference"/>
        </w:rPr>
        <w:footnoteReference w:id="160"/>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61"/>
      </w:r>
    </w:p>
    <w:p>
      <w:pPr>
        <w:pStyle w:val="BodyText"/>
      </w:pPr>
      <w:r>
        <w:t xml:space="preserve">A członkowie niezgadzającej się grupy różnią się od odczytu do odczytu.</w:t>
      </w:r>
      <w:r>
        <w:rPr>
          <w:rStyle w:val="FootnoteReference"/>
        </w:rPr>
        <w:footnoteReference w:id="162"/>
      </w:r>
      <w:r>
        <w:t xml:space="preserve"> </w:t>
      </w:r>
      <w:r>
        <w:t xml:space="preserve">Niemniej jednak, z uwzględnieniem powyższego zastrzeżenia, można zasadnie stwierdzić, że nawet 95% zachowanych manuskryptów należy do większościowej tradycji tekstowej.</w:t>
      </w:r>
    </w:p>
    <w:p>
      <w:pPr>
        <w:pStyle w:val="BodyText"/>
      </w:pPr>
      <w:r>
        <w:rPr>
          <w:rStyle w:val="FootnoteReference"/>
        </w:rPr>
        <w:footnoteReference w:id="163"/>
      </w:r>
    </w:p>
    <w:p>
      <w:pPr>
        <w:pStyle w:val="BodyText"/>
      </w:pPr>
      <w:r>
        <w:t xml:space="preserve">I see no way of accounting for a 95% (or 90%) domination unless that text goes back to the Autographs. Hort saw the problem and invented a revision. Sturz seems not to have seen the problem. He demonstrates that the “Byzantine text-type” is early and independent of the “Western” and “Alexandrian text-types”, and like von Soden, wishes to treat them as three equal witnesses.2 But if the three</w:t>
      </w:r>
      <w:r>
        <w:t xml:space="preserve"> </w:t>
      </w:r>
      <w:r>
        <w:t xml:space="preserve">“text-types”</w:t>
      </w:r>
      <w:r>
        <w:t xml:space="preserve"> </w:t>
      </w:r>
      <w:r>
        <w:t xml:space="preserve">were equal, how could the so-called “Byzantine” ever gain a 90-95% preponderance?</w:t>
      </w:r>
    </w:p>
    <w:bookmarkEnd w:id="164"/>
    <w:bookmarkEnd w:id="165"/>
    <w:bookmarkEnd w:id="1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t xml:space="preserve">Określenia</w:t>
      </w:r>
      <w:r>
        <w:t xml:space="preserve"> </w:t>
      </w:r>
      <w:r>
        <w:rPr>
          <w:i/>
          <w:iCs/>
        </w:rPr>
        <w:t xml:space="preserve">odczyt</w:t>
      </w:r>
      <w:r>
        <w:t xml:space="preserve"> </w:t>
      </w:r>
      <w:r>
        <w:t xml:space="preserve">oraz</w:t>
      </w:r>
      <w:r>
        <w:t xml:space="preserve"> </w:t>
      </w:r>
      <w:r>
        <w:rPr>
          <w:i/>
          <w:iCs/>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
          <w:iCs/>
        </w:rPr>
        <w:t xml:space="preserve">O naukowej polszczyźnie humanistycznej</w:t>
      </w:r>
      <w:r>
        <w:t xml:space="preserve">, Katowice 2025, s. 29.</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7">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9">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40">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1">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2">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3">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4">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 w:id="145">
    <w:p>
      <w:pPr>
        <w:pStyle w:val="FootnoteText"/>
      </w:pPr>
      <w:r>
        <w:rPr>
          <w:rStyle w:val="FootnoteReference"/>
        </w:rPr>
        <w:footnoteRef/>
      </w:r>
      <w:r>
        <w:t xml:space="preserve"> </w:t>
      </w:r>
      <w:r>
        <w:t xml:space="preserve">E.C. Colwell, „The Origin of Text-types of New Testament Manuscripts”,</w:t>
      </w:r>
      <w:r>
        <w:t xml:space="preserve"> </w:t>
      </w:r>
      <w:r>
        <w:rPr>
          <w:i/>
          <w:iCs/>
        </w:rPr>
        <w:t xml:space="preserve">Early Christian Origins</w:t>
      </w:r>
      <w:r>
        <w:t xml:space="preserve">, red. Allen Wikgren (Chicago: Quadrangle Books, 1961), s. 138.</w:t>
      </w:r>
    </w:p>
  </w:footnote>
  <w:footnote w:id="146">
    <w:p>
      <w:pPr>
        <w:pStyle w:val="FootnoteText"/>
      </w:pPr>
      <w:r>
        <w:rPr>
          <w:rStyle w:val="FootnoteReference"/>
        </w:rPr>
        <w:footnoteRef/>
      </w:r>
      <w:r>
        <w:t xml:space="preserve"> </w:t>
      </w:r>
      <w:r>
        <w:t xml:space="preserve">F.H.A. Scrivener,</w:t>
      </w:r>
      <w:r>
        <w:t xml:space="preserve"> </w:t>
      </w:r>
      <w:r>
        <w:rPr>
          <w:i/>
          <w:iCs/>
        </w:rPr>
        <w:t xml:space="preserve">A Plain Introduction to the Criticism of the New Testament</w:t>
      </w:r>
      <w:r>
        <w:t xml:space="preserve">, wydanie czwarte pod redakcją E. Millera (2 tomy; Londyn: George Bell and Sons, 1894), II, 264.</w:t>
      </w:r>
    </w:p>
  </w:footnote>
  <w:footnote w:id="147">
    <w:p>
      <w:pPr>
        <w:pStyle w:val="FootnoteText"/>
      </w:pPr>
      <w:r>
        <w:rPr>
          <w:rStyle w:val="FootnoteReference"/>
        </w:rPr>
        <w:footnoteRef/>
      </w:r>
      <w:r>
        <w:t xml:space="preserve"> </w:t>
      </w:r>
      <w:r>
        <w:t xml:space="preserve">G.D. Kilpatrick, „The Transmission of the New Testament and its Reliability”,</w:t>
      </w:r>
      <w:r>
        <w:t xml:space="preserve"> </w:t>
      </w:r>
      <w:r>
        <w:rPr>
          <w:i/>
          <w:iCs/>
        </w:rPr>
        <w:t xml:space="preserve">The Bible Translator</w:t>
      </w:r>
      <w:r>
        <w:t xml:space="preserve">, IX (lipiec 1958), 128-29.</w:t>
      </w:r>
    </w:p>
  </w:footnote>
  <w:footnote w:id="148">
    <w:p>
      <w:pPr>
        <w:pStyle w:val="FootnoteText"/>
      </w:pPr>
      <w:r>
        <w:rPr>
          <w:rStyle w:val="FootnoteReference"/>
        </w:rPr>
        <w:footnoteRef/>
      </w:r>
      <w:r>
        <w:t xml:space="preserve"> </w:t>
      </w:r>
      <w:r>
        <w:t xml:space="preserve">G. Zuntz,</w:t>
      </w:r>
      <w:r>
        <w:t xml:space="preserve"> </w:t>
      </w:r>
      <w:r>
        <w:rPr>
          <w:i/>
          <w:iCs/>
        </w:rPr>
        <w:t xml:space="preserve">The Text of the Epistles</w:t>
      </w:r>
      <w:r>
        <w:t xml:space="preserve"> </w:t>
      </w:r>
      <w:r>
        <w:t xml:space="preserve">(Londyn: Oxford University Press, 1953), s. 11.</w:t>
      </w:r>
    </w:p>
  </w:footnote>
  <w:footnote w:id="149">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50">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51">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52">
    <w:p>
      <w:pPr>
        <w:pStyle w:val="FootnoteText"/>
      </w:pPr>
      <w:r>
        <w:rPr>
          <w:rStyle w:val="FootnoteReference"/>
        </w:rPr>
        <w:footnoteRef/>
      </w:r>
      <w:r>
        <w:t xml:space="preserve"> </w:t>
      </w:r>
      <w:r>
        <w:t xml:space="preserve">Zob. Burgon,</w:t>
      </w:r>
      <w:r>
        <w:t xml:space="preserve"> </w:t>
      </w:r>
      <w:r>
        <w:rPr>
          <w:i/>
          <w:iCs/>
        </w:rPr>
        <w:t xml:space="preserve">The Revision Revised</w:t>
      </w:r>
      <w:r>
        <w:t xml:space="preserve">, s. 323.</w:t>
      </w:r>
    </w:p>
  </w:footnote>
  <w:footnote w:id="157">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58">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
          <w:iCs/>
        </w:rPr>
        <w:t xml:space="preserve">The Identity of the New Testament Text IV</w:t>
      </w:r>
      <w:r>
        <w:t xml:space="preserve">, dostępnej na Amazon.com oraz na mojej stronie internetowej www.prunch.org.</w:t>
      </w:r>
    </w:p>
  </w:footnote>
  <w:footnote w:id="159">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
          <w:iCs/>
        </w:rPr>
        <w:t xml:space="preserve">W</w:t>
      </w:r>
      <w:r>
        <w:t xml:space="preserve">, czyli Waszyngtońskiego, przyp. tłum.] albo wirze P</w:t>
      </w:r>
      <w:r>
        <w:rPr>
          <w:vertAlign w:val="superscript"/>
        </w:rPr>
        <w:t xml:space="preserve">75</w:t>
      </w:r>
      <w:r>
        <w:t xml:space="preserve">/B [papirus 75 z kodeksu</w:t>
      </w:r>
      <w:r>
        <w:t xml:space="preserve"> </w:t>
      </w:r>
      <w:r>
        <w:rPr>
          <w:i/>
          <w:iCs/>
        </w:rPr>
        <w:t xml:space="preserve">B</w:t>
      </w:r>
      <w:r>
        <w:t xml:space="preserve">, czyli Watykańskiego, przyp. tłum.].</w:t>
      </w:r>
    </w:p>
  </w:footnote>
  <w:footnote w:id="160">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
          <w:bCs/>
        </w:rPr>
        <w:t xml:space="preserve">będą</w:t>
      </w:r>
      <w:r>
        <w:t xml:space="preserve"> </w:t>
      </w:r>
      <w:r>
        <w:t xml:space="preserve">błędami).</w:t>
      </w:r>
    </w:p>
  </w:footnote>
  <w:footnote w:id="161">
    <w:p>
      <w:pPr>
        <w:pStyle w:val="FootnoteText"/>
      </w:pPr>
      <w:r>
        <w:rPr>
          <w:rStyle w:val="FootnoteReference"/>
        </w:rPr>
        <w:footnoteRef/>
      </w:r>
      <w:r>
        <w:t xml:space="preserve"> </w:t>
      </w:r>
      <w:r>
        <w:t xml:space="preserve">Nie jestem przygotowany do obrony podanych konkretnych liczb – są to</w:t>
      </w:r>
      <w:r>
        <w:t xml:space="preserve"> </w:t>
      </w:r>
      <w:r>
        <w:rPr>
          <w:b/>
          <w:bCs/>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
          <w:iCs/>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62">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
          <w:iCs/>
        </w:rPr>
        <w:t xml:space="preserve">Identity IV</w:t>
      </w:r>
      <w:r>
        <w:t xml:space="preserve">, w sekcji zatytułowanej „Czy świadków nie należy raczej ważyć, a nie liczyć?”.</w:t>
      </w:r>
    </w:p>
  </w:footnote>
  <w:footnote w:id="163">
    <w:p>
      <w:pPr>
        <w:pStyle w:val="FootnoteText"/>
      </w:pPr>
      <w:r>
        <w:rPr>
          <w:rStyle w:val="FootnoteReference"/>
        </w:rPr>
        <w:footnoteRef/>
      </w:r>
      <w:r>
        <w:t xml:space="preserve"> </w:t>
      </w:r>
      <w:r>
        <w:t xml:space="preserve">Sturz, op. cit.[łac.</w:t>
      </w:r>
      <w:r>
        <w:t xml:space="preserve"> </w:t>
      </w:r>
      <w:r>
        <w:rPr>
          <w:i/>
          <w:iCs/>
        </w:rPr>
        <w:t xml:space="preserve">opus citatum</w:t>
      </w:r>
      <w:r>
        <w:t xml:space="preserve"> </w:t>
      </w:r>
      <w:r>
        <w:t xml:space="preserve">- „w cytowanym dziele” / „dzieło cytowane”, przyp. tłum.] Tekst powstały przez przyjęcie dwóch „typów tekstów” przeciw jednemu przesunąłby tekst UBS[tekst UBS to tekst krytyczny wydawany przez United Bible Societies, przyp. tłum.] o około 80% drogi w kierunku tekstu większościowego.</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image" Id="rId154" Target="media/rId154.jp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2026-05-25T03:57:28Z</dcterms:created>
  <dcterms:modified xsi:type="dcterms:W3CDTF">2026-05-25T03:57:28Z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