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8"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r>
        <w:pict>
          <v:rect style="width:0;height:1.5pt" o:hralign="center" o:hrstd="t" o:hr="t"/>
        </w:pict>
      </w:r>
    </w:p>
    <w:p>
      <w:pPr>
        <w:pStyle w:val="FirstParagraph"/>
      </w:pPr>
      <w:r>
        <w:t xml:space="preserve">None for 2 Thessalonians. (f35 is always accompanied by at least 40% of the Byzantine bulk.)</w:t>
      </w:r>
    </w:p>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None for Jude. (f35 is always accompanied by at least 40% of the Byzan-tine bulk.)</w:t>
      </w:r>
    </w:p>
    <w:p>
      <w:pPr>
        <w:pStyle w:val="BodyText"/>
      </w:pPr>
      <w:r>
        <w:rPr>
          <w:bCs/>
          <w:b/>
        </w:rPr>
        <w:t xml:space="preserve">Brak dla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Due to Hoskier’s collations, it is possible (and better) to state the evidence in terms of families, instead of percentages, as I have done in my apparatus—please consult it for the evidence.</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p>
      <w:r>
        <w:pict>
          <v:rect style="width:0;height:1.5pt" o:hralign="center" o:hrstd="t" o:hr="t"/>
        </w:pict>
      </w:r>
    </w:p>
    <w:p>
      <w:pPr>
        <w:pStyle w:val="FirstParagraph"/>
      </w:pPr>
      <w:r>
        <w:t xml:space="preserve">The evidence is clear. Family 35 is an objectively/empirically de-fined entity throughout the New Testament. It remains to be seen if the same can be said for any other family or line of transmission—attention please: that is for all 27 books (a number of lines are confined to the Gos-pels, such as f1 and f13).</w:t>
      </w:r>
    </w:p>
    <w:p>
      <w:pPr>
        <w:pStyle w:val="BodyText"/>
      </w:pPr>
      <w:r>
        <w:t xml:space="preserve">Family 35 is characterized by incredibly careful transmission (in con-trast to other lines). I have a perfect copy of the Family 35 archetypal text for most NT books (22); I have copies made from a perfect exemplar (pre-sumed) for another four (4); as I continue to collate MSS I hope to add the last one (Acts), but even for it the archetypal form is demonstrable. If God was preserving the original wording in some line of transmission other than Family 35, would that line be any less careful? I think not. So any line of transmission characterized by internal confusion is disqualified—this includes all the other lines of transmission that I have seen so far.</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formę archetypalną można wykazać. Gdyby Bóg zachowywał oryginalne brzmienie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dotąd widziałem.</w:t>
      </w:r>
    </w:p>
    <w:p>
      <w:r>
        <w:pict>
          <v:rect style="width:0;height:1.5pt" o:hralign="center" o:hrstd="t" o:hr="t"/>
        </w:pict>
      </w:r>
    </w:p>
    <w:bookmarkEnd w:id="207"/>
    <w:bookmarkEnd w:id="2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2026-08-21T16:53:40Z</dcterms:created>
  <dcterms:modified xsi:type="dcterms:W3CDTF">2026-08-21T16:53:40Z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