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Boskie</w:t>
      </w:r>
      <w:r>
        <w:t xml:space="preserve"> </w:t>
      </w:r>
      <w:r>
        <w:t xml:space="preserve">zachowanie</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w:t>
      </w:r>
      <w:r>
        <w:t xml:space="preserve"> </w:t>
      </w:r>
      <w:hyperlink r:id="rId21">
        <w:r>
          <w:rPr>
            <w:rStyle w:val="Hyperlink"/>
          </w:rPr>
          <w:t xml:space="preserve">Wydawnictwa 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w:t>
      </w:r>
      <w:r>
        <w:t xml:space="preserve"> </w:t>
      </w:r>
      <w:r>
        <w:t xml:space="preserve">“</w:t>
      </w:r>
      <w:r>
        <w:rPr>
          <w:iCs/>
          <w:i/>
        </w:rPr>
        <w:t xml:space="preserve">Oryginał dostępny na http://thechristiancommons.com.</w:t>
      </w:r>
      <w:r>
        <w:t xml:space="preserve">”</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wspólnie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01" w:name="część-i-dowody-historyczne"/>
    <w:p>
      <w:pPr>
        <w:pStyle w:val="Heading1"/>
      </w:pPr>
      <w:r>
        <w:t xml:space="preserve">CZĘŚĆ I: Dowody Historyczne</w:t>
      </w:r>
    </w:p>
    <w:bookmarkStart w:id="64"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absurdalnie, niedorzecznie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śmiesznie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absurdalnie, niedorzecznie niemożliwa!</w:t>
      </w:r>
    </w:p>
    <w:p>
      <w:pPr>
        <w:pStyle w:val="BodyText"/>
      </w:pPr>
      <w:r>
        <w:t xml:space="preserve">Nauka genetyki, wraz z projektami badającymi genom, odkryła, że losowa zmiana zaledwie trzech nukleotydów jest śmiertelna dla organizmu. Rozważmy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absurdalnie, niedorzecznie niemożliwa.</w:t>
      </w:r>
    </w:p>
    <w:p>
      <w:pPr>
        <w:pStyle w:val="BodyText"/>
      </w:pPr>
      <w:r>
        <w:t xml:space="preserve">Tak zwana</w:t>
      </w:r>
      <w:r>
        <w:t xml:space="preserve"> </w:t>
      </w:r>
      <w:r>
        <w:t xml:space="preserve">“</w:t>
      </w:r>
      <w:r>
        <w:t xml:space="preserve">kolumna geologiczna</w:t>
      </w:r>
      <w:r>
        <w:t xml:space="preserve">”</w:t>
      </w:r>
      <w:r>
        <w:rPr>
          <w:rStyle w:val="FootnoteReference"/>
        </w:rPr>
        <w:footnoteReference w:id="39"/>
      </w:r>
      <w:r>
        <w:t xml:space="preserve"> </w:t>
      </w:r>
      <w:r>
        <w:t xml:space="preserve">to fikcja. W Australii znajdują się skamieniałe pnie drzew, stojące pionowo, przechodzące przez różne warstwy skał osadowych, które według</w:t>
      </w:r>
      <w:r>
        <w:t xml:space="preserve"> </w:t>
      </w:r>
      <w:r>
        <w:t xml:space="preserve">“</w:t>
      </w:r>
      <w:r>
        <w:t xml:space="preserve">kolumny geologicznej</w:t>
      </w:r>
      <w:r>
        <w:t xml:space="preserve">”</w:t>
      </w:r>
      <w:r>
        <w:t xml:space="preserve"> </w:t>
      </w:r>
      <w:r>
        <w:t xml:space="preserve">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w:t>
      </w:r>
      <w:r>
        <w:t xml:space="preserve"> </w:t>
      </w:r>
      <w:r>
        <w:t xml:space="preserve">“</w:t>
      </w:r>
      <w:r>
        <w:t xml:space="preserve">kolumny</w:t>
      </w:r>
      <w:r>
        <w:t xml:space="preserve">”</w:t>
      </w:r>
      <w:r>
        <w:t xml:space="preserve">), ale obszar ten jest tak rozległy, że żadna znana siła nie byłaby w stanie pokonać tarcia powstałego przy próbie przesunięcia jednej warstwy po drugiej (stosowany argument) – to również jest niemożliwe dla</w:t>
      </w:r>
      <w:r>
        <w:t xml:space="preserve"> </w:t>
      </w:r>
      <w:r>
        <w:t xml:space="preserve">“</w:t>
      </w:r>
      <w:r>
        <w:t xml:space="preserve">kolumny geologicznej</w:t>
      </w:r>
      <w:r>
        <w:t xml:space="preserve">”</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w:t>
      </w:r>
      <w:r>
        <w:t xml:space="preserve"> </w:t>
      </w:r>
      <w:r>
        <w:t xml:space="preserve">“</w:t>
      </w:r>
      <w:r>
        <w:t xml:space="preserve">kolumny geologicznej</w:t>
      </w:r>
      <w:r>
        <w:t xml:space="preserve">”</w:t>
      </w:r>
      <w:r>
        <w:t xml:space="preserve"> </w:t>
      </w:r>
      <w:r>
        <w:t xml:space="preserve">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absurdalnie, niedorzecznie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60"/>
      </w:r>
      <w:r>
        <w:t xml:space="preserve">. Ewolucjoniści twierdzą, że granit krystalizował się przez 300 milionów lat, ale w granicie występują „pierścienie polonowe” [ang. Polonium haloes, przyp. tłum.]</w:t>
      </w:r>
      <w:r>
        <w:rPr>
          <w:rStyle w:val="FootnoteReference"/>
        </w:rPr>
        <w:footnoteReference w:id="61"/>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absurdalnie, niedorzecznie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absurdalnie, niedorzecznie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2"/>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w:t>
      </w:r>
      <w:r>
        <w:t xml:space="preserve"> </w:t>
      </w:r>
      <w:r>
        <w:t xml:space="preserve">“</w:t>
      </w:r>
      <w:r>
        <w:t xml:space="preserve">słowo, które nakazał na tysiąc pokoleń</w:t>
      </w:r>
      <w:r>
        <w:t xml:space="preserve">”</w:t>
      </w:r>
      <w:r>
        <w:t xml:space="preserve">.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3"/>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4"/>
    <w:bookmarkStart w:id="86" w:name="wprowadzenie"/>
    <w:p>
      <w:pPr>
        <w:pStyle w:val="Heading2"/>
      </w:pPr>
      <w:r>
        <w:t xml:space="preserve">Wprowadzenie</w:t>
      </w:r>
    </w:p>
    <w:bookmarkStart w:id="80" w:name="natchnienie"/>
    <w:p>
      <w:pPr>
        <w:pStyle w:val="Heading3"/>
      </w:pPr>
      <w:r>
        <w:t xml:space="preserve">Natchnienie</w:t>
      </w:r>
    </w:p>
    <w:p>
      <w:pPr>
        <w:pStyle w:val="FirstParagraph"/>
      </w:pPr>
      <w:r>
        <w:t xml:space="preserve">Gdy piszę książkę</w:t>
      </w:r>
      <w:r>
        <w:rPr>
          <w:rStyle w:val="FootnoteReference"/>
        </w:rPr>
        <w:footnoteReference w:id="65"/>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6"/>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7"/>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8"/>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9"/>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70"/>
      </w:r>
      <w:r>
        <w:t xml:space="preserve"> </w:t>
      </w:r>
      <w:r>
        <w:t xml:space="preserve">(2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1"/>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2"/>
      </w:r>
      <w:r>
        <w:t xml:space="preserve"> </w:t>
      </w:r>
      <w:r>
        <w:t xml:space="preserve">Ewangelii Chrystusa</w:t>
      </w:r>
      <w:r>
        <w:rPr>
          <w:rStyle w:val="FootnoteReference"/>
        </w:rPr>
        <w:footnoteReference w:id="73"/>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4"/>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5"/>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6"/>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7"/>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8"/>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9"/>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80"/>
    <w:bookmarkStart w:id="82"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1"/>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2"/>
    <w:bookmarkStart w:id="85"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3"/>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4"/>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boskie zachowanie Nowego Testamentu – jest to kwestia logiki. Ale co z dowodami historycznymi, czy są one zgodne z naszą logiką, czy nie? Teraz przejdę do tego pytania.</w:t>
      </w:r>
    </w:p>
    <w:bookmarkEnd w:id="85"/>
    <w:bookmarkEnd w:id="86"/>
    <w:bookmarkStart w:id="100"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7"/>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4"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8"/>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9"/>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90"/>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1"/>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2"/>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3"/>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4"/>
    <w:bookmarkStart w:id="99" w:name="X2567adac6f25933c916ef36242b5d7814bc2aed"/>
    <w:p>
      <w:pPr>
        <w:pStyle w:val="Heading3"/>
      </w:pPr>
      <w:r>
        <w:t xml:space="preserve">Wczesne Rozpoznanie</w:t>
      </w:r>
      <w:r>
        <w:t xml:space="preserve"> </w:t>
      </w:r>
      <w:r>
        <w:rPr>
          <w:rStyle w:val="FootnoteReference"/>
        </w:rPr>
        <w:footnoteReference w:id="95"/>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6"/>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7"/>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rPr>
          <w:rStyle w:val="FootnoteReference"/>
        </w:rPr>
        <w:footnoteReference w:id="98"/>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bookmarkEnd w:id="99"/>
    <w:bookmarkEnd w:id="100"/>
    <w:bookmarkEnd w:id="1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Zgodnie z aktualną wiedzą paleobotaniczną, Lepidodendron był dominującym drzewem w okresie karbonu, który trwał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61">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2">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3">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5">
    <w:p>
      <w:pPr>
        <w:pStyle w:val="FootnoteText"/>
      </w:pPr>
      <w:r>
        <w:rPr>
          <w:rStyle w:val="FootnoteReference"/>
        </w:rPr>
        <w:footnoteRef/>
      </w:r>
      <w:r>
        <w:t xml:space="preserve"> </w:t>
      </w:r>
      <w:r>
        <w:t xml:space="preserve">Do tej pory opublikowałem osiem, plus Tekst Grecki.</w:t>
      </w:r>
    </w:p>
  </w:footnote>
  <w:footnote w:id="66">
    <w:p>
      <w:pPr>
        <w:pStyle w:val="FootnoteText"/>
      </w:pPr>
      <w:r>
        <w:rPr>
          <w:rStyle w:val="FootnoteReference"/>
        </w:rPr>
        <w:footnoteRef/>
      </w:r>
      <w:r>
        <w:t xml:space="preserve"> </w:t>
      </w:r>
      <w:r>
        <w:t xml:space="preserve">Odniosłem się już do 1 Kronik 16,15.</w:t>
      </w:r>
    </w:p>
  </w:footnote>
  <w:footnote w:id="67">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8">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9">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70">
    <w:p>
      <w:pPr>
        <w:pStyle w:val="FootnoteText"/>
      </w:pPr>
      <w:r>
        <w:rPr>
          <w:rStyle w:val="FootnoteReference"/>
        </w:rPr>
        <w:footnoteRef/>
      </w:r>
      <w:r>
        <w:t xml:space="preserve"> </w:t>
      </w:r>
      <w:r>
        <w:t xml:space="preserve">Dostęp do Pisma jest niezbędny do duchowego wzrostu i pracy.</w:t>
      </w:r>
    </w:p>
  </w:footnote>
  <w:footnote w:id="71">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2">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3">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4">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5">
    <w:p>
      <w:pPr>
        <w:pStyle w:val="FootnoteText"/>
      </w:pPr>
      <w:r>
        <w:rPr>
          <w:rStyle w:val="FootnoteReference"/>
        </w:rPr>
        <w:footnoteRef/>
      </w:r>
      <w:r>
        <w:t xml:space="preserve"> </w:t>
      </w:r>
      <w:r>
        <w:t xml:space="preserve">Bardzo niewiele rozdziałów zostało napisanych w języku aramejskim.</w:t>
      </w:r>
    </w:p>
  </w:footnote>
  <w:footnote w:id="76">
    <w:p>
      <w:pPr>
        <w:pStyle w:val="FootnoteText"/>
      </w:pPr>
      <w:r>
        <w:rPr>
          <w:rStyle w:val="FootnoteReference"/>
        </w:rPr>
        <w:footnoteRef/>
      </w:r>
      <w:r>
        <w:t xml:space="preserve"> </w:t>
      </w:r>
      <w:r>
        <w:t xml:space="preserve">Więc nie mamy tu do czynienia z nauką w sensie obiektywnym.</w:t>
      </w:r>
    </w:p>
  </w:footnote>
  <w:footnote w:id="77">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8">
    <w:p>
      <w:pPr>
        <w:pStyle w:val="FootnoteText"/>
      </w:pPr>
      <w:r>
        <w:rPr>
          <w:rStyle w:val="FootnoteReference"/>
        </w:rPr>
        <w:footnoteRef/>
      </w:r>
      <w:r>
        <w:t xml:space="preserve"> </w:t>
      </w:r>
      <w:r>
        <w:t xml:space="preserve">Mowa o informacjach historycznych w Biblii, w porównaniu do proroctw. [przyp. tłum.]</w:t>
      </w:r>
    </w:p>
  </w:footnote>
  <w:footnote w:id="79">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1">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3">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4">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7">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8">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w:t>
      </w:r>
      <w:r>
        <w:t xml:space="preserve"> </w:t>
      </w:r>
      <w:r>
        <w:t xml:space="preserve">“</w:t>
      </w:r>
      <w:r>
        <w:t xml:space="preserve">Rodziną 35</w:t>
      </w:r>
      <w:r>
        <w:t xml:space="preserve">”</w:t>
      </w:r>
      <w:r>
        <w:t xml:space="preserve"> </w:t>
      </w:r>
      <w:r>
        <w:t xml:space="preserve">[Nowy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9">
    <w:p>
      <w:pPr>
        <w:pStyle w:val="FootnoteText"/>
      </w:pPr>
      <w:r>
        <w:rPr>
          <w:rStyle w:val="FootnoteReference"/>
        </w:rPr>
        <w:footnoteRef/>
      </w:r>
      <w:r>
        <w:t xml:space="preserve"> </w:t>
      </w:r>
      <w:r>
        <w:t xml:space="preserve">„Przynieś księgi, zwłaszcza pergaminy” (2 Tymoteusza 4,13). Możemy z tego wywnioskować, że pergamin był już w użyciu, ale „księgi” były prawdopodobnie na papirusie, w przeciwnym wypadku, po co ten kontrast?</w:t>
      </w:r>
    </w:p>
  </w:footnote>
  <w:footnote w:id="90">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1">
    <w:p>
      <w:pPr>
        <w:pStyle w:val="FootnoteText"/>
      </w:pPr>
      <w:r>
        <w:rPr>
          <w:rStyle w:val="FootnoteReference"/>
        </w:rPr>
        <w:footnoteRef/>
      </w:r>
      <w:r>
        <w:t xml:space="preserve"> </w:t>
      </w:r>
      <w:r>
        <w:t xml:space="preserve">NKJV - Biblia, przekład New King James Version. [przyp. tłum.]</w:t>
      </w:r>
    </w:p>
  </w:footnote>
  <w:footnote w:id="92">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3">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5">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6">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7">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8">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2025-11-22T11:51:19Z</dcterms:created>
  <dcterms:modified xsi:type="dcterms:W3CDTF">2025-11-22T11:51:19Z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Boskie zachowanie Nowego Testamentu</vt:lpwstr>
  </property>
  <property fmtid="{D5CDD505-2E9C-101B-9397-08002B2CF9AE}" pid="10" name="tags">
    <vt:lpwstr/>
  </property>
</Properties>
</file>