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brzmienia tekstu. Nikt nie zajmuje się krytyką tekstu na przykład Biblii Króla Jakuba z 1611 roku, ponieważ nadal istnieją kopie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The discipline of textual criticism (of whatever text) is predicated on the assumption/allegation/declaration that there is a legitimate doubt about the precise original wording of a text. No one does textual criticism on the 1611 King James Bible, for example, since copies of the original printing still exist. With reference to New Testament textual criticism,</w:t>
      </w:r>
      <w:r>
        <w:t xml:space="preserve"> </w:t>
      </w:r>
      <w:r>
        <w:rPr>
          <w:bCs/>
          <w:b/>
        </w:rPr>
        <w:t xml:space="preserve">the crucial point at issue is the preservation of its Text. For any text to have objecttive authority, we have to know what it is.</w:t>
      </w:r>
    </w:p>
    <w:bookmarkEnd w:id="135"/>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2026-03-03T05:19:45Z</dcterms:created>
  <dcterms:modified xsi:type="dcterms:W3CDTF">2026-03-03T05:19:45Z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