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2"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1"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0"/>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1"/>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2"/>
    <w:bookmarkStart w:id="160"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4" name="Picture"/>
            <a:graphic>
              <a:graphicData uri="http://schemas.openxmlformats.org/drawingml/2006/picture">
                <pic:pic>
                  <pic:nvPicPr>
                    <pic:cNvPr descr="images/Rysunek_A.jpg" id="155" name="Picture"/>
                    <pic:cNvPicPr>
                      <a:picLocks noChangeArrowheads="1" noChangeAspect="1"/>
                    </pic:cNvPicPr>
                  </pic:nvPicPr>
                  <pic:blipFill>
                    <a:blip r:embed="rId153"/>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6"/>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7"/>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rPr>
          <w:rStyle w:val="FootnoteReference"/>
        </w:rPr>
        <w:footnoteReference w:id="158"/>
      </w:r>
      <w:r>
        <w:t xml:space="preserve"> </w:t>
      </w:r>
      <w:r>
        <w:rPr>
          <w:rStyle w:val="FootnoteReference"/>
        </w:rPr>
        <w:footnoteReference w:id="159"/>
      </w:r>
    </w:p>
    <w:p>
      <w:pPr>
        <w:pStyle w:val="BodyText"/>
      </w:pPr>
      <w:r>
        <w:t xml:space="preserve">What we find upon consulting the witnesses is just such a picture. We have the Majority Text (Aland), or the Traditional Text (Burgon), dominating the stream of transmission with a few individual witnesses going their idiosyncratic ways. In Chapter 4 of my</w:t>
      </w:r>
      <w:r>
        <w:t xml:space="preserve"> </w:t>
      </w:r>
      <w:r>
        <w:rPr>
          <w:i/>
          <w:iCs/>
        </w:rPr>
        <w:t xml:space="preserve">Identity IV</w:t>
      </w:r>
      <w:r>
        <w:t xml:space="preserve"> </w:t>
      </w:r>
      <w:r>
        <w:t xml:space="preserve">I demonstrate that the notion of ‘text-types’ and recensions, as defined and used by Hort and his followers, is gratuitous. Epp’s notion of ‘streams’ fares no better. There is just one stream (actually a river), with a number of small eddies along the edges.1 When I say the Majority Text dominates the stream, I mean it is represented in about 95% of the MSS.2</w:t>
      </w:r>
    </w:p>
    <w:bookmarkEnd w:id="160"/>
    <w:bookmarkEnd w:id="161"/>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1">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6">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7">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8">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59">
    <w:p>
      <w:pPr>
        <w:pStyle w:val="FootnoteText"/>
      </w:pPr>
      <w:r>
        <w:rPr>
          <w:rStyle w:val="FootnoteReference"/>
        </w:rPr>
        <w:footnoteRef/>
      </w:r>
      <w:r>
        <w:t xml:space="preserve"> </w:t>
      </w:r>
      <w:r>
        <w:t xml:space="preserve">Chociaż w niektórych swoich pracach stosuję z konieczności termin „typ tekstu”, postrzegam Tekst Większościowy jako znacznie szerszy. Jest to tradycja tekstowa, o której można powiedzieć, że obejmuje szereg powiązanych „typów tekstu”,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tekstowego” nie mają znaczenia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r>
        <w:t xml:space="preserve"> </w:t>
      </w:r>
      <w:r>
        <w:t xml:space="preserve">Although I used, of necessity, the term ‘text-type’ in some of my writings, I view the Majority Text as being much broader. It is a textual tradition which might be said to include a number of related ‘text-types’, such as von Soden’s K</w:t>
      </w:r>
      <w:r>
        <w:rPr>
          <w:vertAlign w:val="superscript"/>
        </w:rPr>
        <w:t xml:space="preserve">a</w:t>
      </w:r>
      <w:r>
        <w:t xml:space="preserve">, K</w:t>
      </w:r>
      <w:r>
        <w:rPr>
          <w:vertAlign w:val="superscript"/>
        </w:rPr>
        <w:t xml:space="preserve">i</w:t>
      </w:r>
      <w:r>
        <w:t xml:space="preserve">, and K</w:t>
      </w:r>
      <w:r>
        <w:rPr>
          <w:vertAlign w:val="superscript"/>
        </w:rPr>
        <w:t xml:space="preserve">l</w:t>
      </w:r>
      <w:r>
        <w:t xml:space="preserve">. I wish to emphasize again that it is only agreement in error that determines genealogical relationships. It follows that the concepts of ‘genealogy’ and ‘text-type’ are irrelevant with reference to original readings—they are only useful (when employed properly) for identifying spurious readings. Well, if there is a family that very nearly reflects the original its ‘profile’ or mosaic of readings will distinguish it from all other families, but most of those readings will not be errors (the competing variants distinctive of other families</w:t>
      </w:r>
      <w:r>
        <w:t xml:space="preserve"> </w:t>
      </w:r>
      <w:r>
        <w:rPr>
          <w:b/>
          <w:bCs/>
        </w:rPr>
        <w:t xml:space="preserve">will</w:t>
      </w:r>
      <w:r>
        <w:t xml:space="preserve"> </w:t>
      </w:r>
      <w:r>
        <w:t xml:space="preserve">be errors).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3" Target="media/rId153.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2026-05-18T03:57:25Z</dcterms:created>
  <dcterms:modified xsi:type="dcterms:W3CDTF">2026-05-18T03:57:25Z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