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34"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2"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chrześcijańskim.[^ch-roberts-4243-5458] Aland stwierdza: „Egipt wyróżniał się spośród innych prowincji Kościoła, na ile możemy to ocenić, wczesną dominacją gnostycyzmu”.[^k-i-b-aland-s-59] Dalej informuje nas, że „pod koniec II wieku” Kościół egipski był „w przeważającej mierze gnostycki”, a następnie dodaje: „Kopie istniejące w społecznościach gnostyckich nie mogły być używane, ponieważ podejrzewano, że były zniekształcone”.[^k-aland-1987-8ns138] 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ortodoksi.[^metzger-early-version-101]</w:t>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III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niespójność. Typ tekstu „bizantyjskiego” istniał na długo przed Lucjanem.</w:t>
      </w:r>
    </w:p>
    <w:p>
      <w:pPr>
        <w:pStyle w:val="BodyText"/>
      </w:pPr>
      <w:r>
        <w:t xml:space="preserve">But we need to pause to reflect on the implications of Aland’s statements. He was a champion of the Egyptian (‘Alexandrian’) text-type, and yet he himself informs us that up to AD 200 the textual tradition in Egypt could not be trusted and that by 200 the use of Greek had virtually died out there. So on what basis can he argue that the Egyptian text subsequently became the best? Aland also states that in the 2nd century, 3rd century, and into the 4th century Asia Minor continued to be “the heartland of the Church”. This means that the superior qualifications of the Aegean area to protect, transmit and attest the N.T. Text carry over into the 4th century! It happens that Hort, Metzger and Aland (along with many others) have linked the “Byzantine” text-type to Lucian of Antioch, who died in 311. Now really, wouldn’t a text produced by a leader in “the heartland of the Church” be better than whatever evolved in Egypt? Of course I ask the above question only to point out their inconsistency. The ‘Byzantine’ text-type existed long before Lucian.</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Where careful work is required, the attitude of those to whom the task is entrusted is of the essence. Are they aware? Do they agree? If they do not understand the nature of the task, the quality will probably do down. If they understand but do not agree, they might even resort to sabotage— a damaging eventuality. In the case of the NT books we may begin with the question: Why would copies be made?</w:t>
      </w:r>
    </w:p>
    <w:p>
      <w:pPr>
        <w:pStyle w:val="BodyText"/>
      </w:pPr>
      <w:r>
        <w:t xml:space="preserve">[^ch-roberts-4243-5458] C.H. Roberts,</w:t>
      </w:r>
      <w:r>
        <w:t xml:space="preserve"> </w:t>
      </w:r>
      <w:r>
        <w:rPr>
          <w:i/>
          <w:iCs/>
        </w:rPr>
        <w:t xml:space="preserve">Manuscript, Society and Belief in Early Christian Egypt</w:t>
      </w:r>
      <w:r>
        <w:t xml:space="preserve"> </w:t>
      </w:r>
      <w:r>
        <w:t xml:space="preserve">(Londyn: Oxford University Press, 1979), s. 42–43, 54–58.</w:t>
      </w:r>
    </w:p>
    <w:p>
      <w:pPr>
        <w:pStyle w:val="BodyText"/>
      </w:pPr>
      <w:r>
        <w:t xml:space="preserve">[^k-i-b-aland-s-59] K. i B. Aland, s. 59.</w:t>
      </w:r>
    </w:p>
    <w:p>
      <w:pPr>
        <w:pStyle w:val="BodyText"/>
      </w:pPr>
      <w:r>
        <w:t xml:space="preserve">[^k-aland-1987-8ns138] K. Aland, „The Text of the Church?”,</w:t>
      </w:r>
      <w:r>
        <w:t xml:space="preserve"> </w:t>
      </w:r>
      <w:r>
        <w:rPr>
          <w:i/>
          <w:iCs/>
        </w:rPr>
        <w:t xml:space="preserve">Trinity Journal</w:t>
      </w:r>
      <w:r>
        <w:t xml:space="preserve">, 1987, 8NS:138.</w:t>
      </w:r>
    </w:p>
    <w:p>
      <w:pPr>
        <w:pStyle w:val="BodyText"/>
      </w:pPr>
      <w:r>
        <w:t xml:space="preserve">[^metzger-early-version-101] Metzger,</w:t>
      </w:r>
      <w:r>
        <w:t xml:space="preserve"> </w:t>
      </w:r>
      <w:r>
        <w:rPr>
          <w:i/>
          <w:iCs/>
        </w:rPr>
        <w:t xml:space="preserve">Early Versions</w:t>
      </w:r>
      <w:r>
        <w:t xml:space="preserve">, s. 101.</w:t>
      </w:r>
    </w:p>
    <w:bookmarkEnd w:id="132"/>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2026-03-28T11:00:22Z</dcterms:created>
  <dcterms:modified xsi:type="dcterms:W3CDTF">2026-03-28T11:00:22Z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