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8"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7"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słabe kopie z powodu niekompetencji lub niedbalstwa, ale nie wprowadzali celowych zmian. Po prawej stronie zaznaczyłem kilka przykładów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P^52, 64, 67^ 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t xml:space="preserve">The MSS within the cones represent the</w:t>
      </w:r>
      <w:r>
        <w:t xml:space="preserve"> </w:t>
      </w:r>
      <w:r>
        <w:t xml:space="preserve">“normal”</w:t>
      </w:r>
      <w:r>
        <w:t xml:space="preserve"> </w:t>
      </w:r>
      <w:r>
        <w:t xml:space="preserve">transmission. To the left I have plotted some possible representatives of what we might style the “irresponsible” transmission of the text—the copyists produced poor copies through incompetence or carelessness but did not make deliberate changes. To the right I have plotted some possible representatives of what we might style the “fabricated” transmission of the text—the scribes made deliberate changes in the text (for whatever reasons), producing fabricated copies, not true copies. I am well aware that the MSS plotted on the figure below contain both careless and deliberate errors, in different proportions (7Q5, 4, 8 and P</w:t>
      </w:r>
      <w:r>
        <w:rPr>
          <w:vertAlign w:val="superscript"/>
        </w:rPr>
        <w:t xml:space="preserve">52,64,67</w:t>
      </w:r>
      <w:r>
        <w:t xml:space="preserve"> </w:t>
      </w:r>
      <w:r>
        <w:t xml:space="preserve">are too fragmentary to permit the classification of their errors as deliberate rather than careless), so that any classification such as I attempt here must be relative and gives a distorted picture. Still, I venture to insist that ignorance, carelessness, officiousness and malice all left their mark upon the transmission of the New Testament text, and we must take account of them in any attempt to reconstruct the history of that transmission.</w:t>
      </w:r>
    </w:p>
    <w:p>
      <w:pPr>
        <w:pStyle w:val="BodyText"/>
      </w:pPr>
      <w:r>
        <w:drawing>
          <wp:inline>
            <wp:extent cx="5334000" cy="3390972"/>
            <wp:effectExtent b="0" l="0" r="0" t="0"/>
            <wp:docPr descr="Rysunek A" title="" id="153" name="Picture"/>
            <a:graphic>
              <a:graphicData uri="http://schemas.openxmlformats.org/drawingml/2006/picture">
                <pic:pic>
                  <pic:nvPicPr>
                    <pic:cNvPr descr="images/Rysunek_A.jpg" id="154" name="Picture"/>
                    <pic:cNvPicPr>
                      <a:picLocks noChangeArrowheads="1" noChangeAspect="1"/>
                    </pic:cNvPicPr>
                  </pic:nvPicPr>
                  <pic:blipFill>
                    <a:blip r:embed="rId152"/>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5"/>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5">
    <w:p>
      <w:pPr>
        <w:pStyle w:val="FootnoteText"/>
      </w:pPr>
      <w:r>
        <w:rPr>
          <w:rStyle w:val="FootnoteReference"/>
        </w:rPr>
        <w:footnoteRef/>
      </w:r>
      <w:r>
        <w:t xml:space="preserve"> </w:t>
      </w:r>
      <w:r>
        <w:t xml:space="preserve">The history of the place where Codex W was found suggests that it must have been cop- ied before AD 200: it was found in the ruins of a town that was abandoned in 200 AD when its water dried up. That town is in an isolated area surrounded by desert. Since W shows Byzantine influence, that text-type already existed in the second century,.</w:t>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2" Target="media/rId152.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2026-05-11T15:37:22Z</dcterms:created>
  <dcterms:modified xsi:type="dcterms:W3CDTF">2026-05-11T15:37:22Z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