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3"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2"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1"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rPr>
          <w:rStyle w:val="FootnoteReference"/>
        </w:rPr>
        <w:footnoteReference w:id="140"/>
      </w:r>
    </w:p>
    <w:bookmarkEnd w:id="141"/>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r>
        <w:t xml:space="preserve"> </w:t>
      </w:r>
      <w:r>
        <w:t xml:space="preserve">The demonstration vindicating my assertion is in Appendix C of my book, The Identity of the New Testament Text IV, available from Amazon.com as well as from my site, www.prunch.org.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2026-04-08T04:13:17Z</dcterms:created>
  <dcterms:modified xsi:type="dcterms:W3CDTF">2026-04-08T04:13:17Z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