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1A2E"/>
          <w:sz w:val="56"/>
        </w:rPr>
        <w:t>Avianca</w:t>
      </w:r>
    </w:p>
    <w:p>
      <w:pPr>
        <w:jc w:val="center"/>
      </w:pPr>
      <w:r>
        <w:rPr>
          <w:color w:val="4A4A6A"/>
          <w:sz w:val="36"/>
        </w:rPr>
        <w:t>Informe de Inteligencia Social</w:t>
      </w:r>
    </w:p>
    <w:p>
      <w:pPr>
        <w:jc w:val="center"/>
      </w:pPr>
      <w:r>
        <w:rPr>
          <w:color w:val="6A6A8A"/>
          <w:sz w:val="28"/>
        </w:rPr>
        <w:t>Marzo 2026</w:t>
      </w:r>
    </w:p>
    <w:p/>
    <w:p>
      <w:pPr>
        <w:jc w:val="center"/>
      </w:pPr>
      <w:r>
        <w:rPr>
          <w:i/>
          <w:color w:val="888888"/>
          <w:sz w:val="22"/>
        </w:rPr>
        <w:t>Generado: 08 de April de 2026</w:t>
      </w:r>
    </w:p>
    <w:p>
      <w:r>
        <w:br w:type="page"/>
      </w:r>
    </w:p>
    <w:p>
      <w:pPr>
        <w:pStyle w:val="Heading1"/>
      </w:pPr>
      <w:r>
        <w:t>Tabla de Contenidos</w:t>
      </w:r>
    </w:p>
    <w:p>
      <w:r>
        <w:t>[Actualizar este campo en Word: References &gt; Update Table of Contents]</w:t>
      </w:r>
    </w:p>
    <w:p>
      <w:r>
        <w:br w:type="page"/>
      </w:r>
    </w:p>
    <w:p>
      <w:pPr>
        <w:pStyle w:val="Heading1"/>
      </w:pPr>
      <w:r>
        <w:t>Resumen de Metricas</w:t>
      </w:r>
    </w:p>
    <w:tbl>
      <w:tblPr>
        <w:tblStyle w:val="LightShading-Accent1"/>
        <w:tblW w:type="auto" w:w="0"/>
        <w:tblLook w:firstColumn="1" w:firstRow="1" w:lastColumn="0" w:lastRow="0" w:noHBand="0" w:noVBand="1" w:val="04A0"/>
      </w:tblPr>
      <w:tblGrid>
        <w:gridCol w:w="4320"/>
        <w:gridCol w:w="4320"/>
      </w:tblGrid>
      <w:tr>
        <w:tc>
          <w:tcPr>
            <w:tcW w:type="dxa" w:w="4320"/>
          </w:tcPr>
          <w:p>
            <w:r>
              <w:t>Total de menciones</w:t>
            </w:r>
          </w:p>
        </w:tc>
        <w:tc>
          <w:tcPr>
            <w:tcW w:type="dxa" w:w="4320"/>
          </w:tcPr>
          <w:p>
            <w:r>
              <w:t>28501</w:t>
            </w:r>
          </w:p>
        </w:tc>
      </w:tr>
      <w:tr>
        <w:tc>
          <w:tcPr>
            <w:tcW w:type="dxa" w:w="4320"/>
          </w:tcPr>
          <w:p>
            <w:r>
              <w:t>Sentimiento</w:t>
            </w:r>
          </w:p>
        </w:tc>
        <w:tc>
          <w:tcPr>
            <w:tcW w:type="dxa" w:w="4320"/>
          </w:tcPr>
          <w:p>
            <w:r>
              <w:t>neutral: 10345 (36.3%) | &lt;na&gt;: 9159 (32.1%) | negativo: 5089 (17.9%) | positivo: 3908 (13.7%)</w:t>
            </w:r>
          </w:p>
        </w:tc>
      </w:tr>
      <w:tr>
        <w:tc>
          <w:tcPr>
            <w:tcW w:type="dxa" w:w="4320"/>
          </w:tcPr>
          <w:p>
            <w:r>
              <w:t>Principales fuentes</w:t>
            </w:r>
          </w:p>
        </w:tc>
        <w:tc>
          <w:tcPr>
            <w:tcW w:type="dxa" w:w="4320"/>
          </w:tcPr>
          <w:p>
            <w:r>
              <w:t>facebook (9891), tiktok.com (9411), facebook.com (3205), instagram (2522), twitter.com (983)</w:t>
            </w:r>
          </w:p>
        </w:tc>
      </w:tr>
      <w:tr>
        <w:tc>
          <w:tcPr>
            <w:tcW w:type="dxa" w:w="4320"/>
          </w:tcPr>
          <w:p>
            <w:r>
              <w:t>Alcance promedio</w:t>
            </w:r>
          </w:p>
        </w:tc>
        <w:tc>
          <w:tcPr>
            <w:tcW w:type="dxa" w:w="4320"/>
          </w:tcPr>
          <w:p>
            <w:r>
              <w:t>746,378</w:t>
            </w:r>
          </w:p>
        </w:tc>
      </w:tr>
      <w:tr>
        <w:tc>
          <w:tcPr>
            <w:tcW w:type="dxa" w:w="4320"/>
          </w:tcPr>
          <w:p>
            <w:r>
              <w:t>Engagement promedio</w:t>
            </w:r>
          </w:p>
        </w:tc>
        <w:tc>
          <w:tcPr>
            <w:tcW w:type="dxa" w:w="4320"/>
          </w:tcPr>
          <w:p>
            <w:r>
              <w:t>61.2</w:t>
            </w:r>
          </w:p>
        </w:tc>
      </w:tr>
    </w:tbl>
    <w:p/>
    <w:p>
      <w:pPr>
        <w:pStyle w:val="Heading2"/>
      </w:pPr>
      <w:r>
        <w:t>Desglose por Actor</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Actor</w:t>
            </w:r>
          </w:p>
        </w:tc>
        <w:tc>
          <w:tcPr>
            <w:tcW w:type="dxa" w:w="2880"/>
          </w:tcPr>
          <w:p>
            <w:r>
              <w:t>Menciones</w:t>
            </w:r>
          </w:p>
        </w:tc>
        <w:tc>
          <w:tcPr>
            <w:tcW w:type="dxa" w:w="2880"/>
          </w:tcPr>
          <w:p>
            <w:r>
              <w:t>Porcentaje</w:t>
            </w:r>
          </w:p>
        </w:tc>
      </w:tr>
      <w:tr>
        <w:tc>
          <w:tcPr>
            <w:tcW w:type="dxa" w:w="2880"/>
          </w:tcPr>
          <w:p>
            <w:r>
              <w:t>cossio</w:t>
            </w:r>
          </w:p>
        </w:tc>
        <w:tc>
          <w:tcPr>
            <w:tcW w:type="dxa" w:w="2880"/>
          </w:tcPr>
          <w:p>
            <w:r>
              <w:t>17,029</w:t>
            </w:r>
          </w:p>
        </w:tc>
        <w:tc>
          <w:tcPr>
            <w:tcW w:type="dxa" w:w="2880"/>
          </w:tcPr>
          <w:p>
            <w:r>
              <w:t>59.7%</w:t>
            </w:r>
          </w:p>
        </w:tc>
      </w:tr>
      <w:tr>
        <w:tc>
          <w:tcPr>
            <w:tcW w:type="dxa" w:w="2880"/>
          </w:tcPr>
          <w:p>
            <w:r>
              <w:t>otros</w:t>
            </w:r>
          </w:p>
        </w:tc>
        <w:tc>
          <w:tcPr>
            <w:tcW w:type="dxa" w:w="2880"/>
          </w:tcPr>
          <w:p>
            <w:r>
              <w:t>6,534</w:t>
            </w:r>
          </w:p>
        </w:tc>
        <w:tc>
          <w:tcPr>
            <w:tcW w:type="dxa" w:w="2880"/>
          </w:tcPr>
          <w:p>
            <w:r>
              <w:t>22.9%</w:t>
            </w:r>
          </w:p>
        </w:tc>
      </w:tr>
      <w:tr>
        <w:tc>
          <w:tcPr>
            <w:tcW w:type="dxa" w:w="2880"/>
          </w:tcPr>
          <w:p>
            <w:r>
              <w:t>avianca</w:t>
            </w:r>
          </w:p>
        </w:tc>
        <w:tc>
          <w:tcPr>
            <w:tcW w:type="dxa" w:w="2880"/>
          </w:tcPr>
          <w:p>
            <w:r>
              <w:t>4,938</w:t>
            </w:r>
          </w:p>
        </w:tc>
        <w:tc>
          <w:tcPr>
            <w:tcW w:type="dxa" w:w="2880"/>
          </w:tcPr>
          <w:p>
            <w:r>
              <w:t>17.3%</w:t>
            </w:r>
          </w:p>
        </w:tc>
      </w:tr>
    </w:tbl>
    <w:p/>
    <w:p>
      <w:pPr>
        <w:pStyle w:val="Heading2"/>
      </w:pPr>
      <w:r>
        <w:t>Análisis de Intersección</w:t>
      </w:r>
    </w:p>
    <w:p>
      <w:r>
        <w:t>Análisis de intersección: 2167 menciones exclusivas de la marca (7.6%), 790 del actor secundario (2.8%), 1483 menciones que referencian ambos (5.2%).</w:t>
      </w:r>
    </w:p>
    <w:p/>
    <w:p>
      <w:pPr>
        <w:pStyle w:val="Heading2"/>
      </w:pPr>
      <w:r>
        <w:t>Clusters Temáticos</w:t>
      </w:r>
    </w:p>
    <w:p>
      <w:pPr>
        <w:pStyle w:val="ListBullet"/>
      </w:pPr>
      <w:r>
        <w:t>yeferson cossio: 5.3%</w:t>
      </w:r>
    </w:p>
    <w:p>
      <w:pPr>
        <w:pStyle w:val="ListBullet"/>
      </w:pPr>
      <w:r>
        <w:t>mini influencer: 3.0%</w:t>
      </w:r>
    </w:p>
    <w:p>
      <w:pPr>
        <w:pStyle w:val="ListBullet"/>
      </w:pPr>
      <w:r>
        <w:t>acciones legales: 0.4%</w:t>
      </w:r>
    </w:p>
    <w:p>
      <w:pPr>
        <w:pStyle w:val="ListBullet"/>
      </w:pPr>
      <w:r>
        <w:t>bogotá madrid: 0.3%</w:t>
      </w:r>
    </w:p>
    <w:p>
      <w:pPr>
        <w:pStyle w:val="ListBullet"/>
      </w:pPr>
      <w:r>
        <w:t>ruta bogotá: 0.3%</w:t>
      </w:r>
    </w:p>
    <w:p>
      <w:pPr>
        <w:pStyle w:val="ListBullet"/>
      </w:pPr>
      <w:r>
        <w:t>olor químico: 0.0%</w:t>
      </w:r>
    </w:p>
    <w:p>
      <w:pPr>
        <w:pStyle w:val="ListBullet"/>
      </w:pPr>
      <w:r>
        <w:t>pasado marzo: 0.0%</w:t>
      </w:r>
    </w:p>
    <w:p>
      <w:pPr>
        <w:pStyle w:val="ListBullet"/>
      </w:pPr>
      <w:r>
        <w:t>trayecto regreso: 0.0%</w:t>
      </w:r>
    </w:p>
    <w:p/>
    <w:p>
      <w:pPr>
        <w:pStyle w:val="Heading2"/>
      </w:pPr>
      <w:r>
        <w:t>Anomalías Detectadas</w:t>
      </w:r>
    </w:p>
    <w:p>
      <w:r>
        <w:rPr>
          <w:b/>
        </w:rPr>
        <w:t xml:space="preserve">[WARNING] volume_spike: </w:t>
      </w:r>
      <w:r>
        <w:t>Incremento de volumen del 77% entre 2026-03-14 (227) y 2026-03-15 (401)</w:t>
      </w:r>
    </w:p>
    <w:p>
      <w:r>
        <w:rPr>
          <w:b/>
        </w:rPr>
        <w:t xml:space="preserve">[WARNING] volume_spike: </w:t>
      </w:r>
      <w:r>
        <w:t>Incremento de volumen del 58% entre 2026-03-22 (213) y 2026-03-23 (337)</w:t>
      </w:r>
    </w:p>
    <w:p>
      <w:r>
        <w:rPr>
          <w:b/>
        </w:rPr>
        <w:t xml:space="preserve">[CRITICAL] volume_spike: </w:t>
      </w:r>
      <w:r>
        <w:t>Incremento de volumen del 401% entre 2026-03-28 (173) y 2026-03-29 (866)</w:t>
      </w:r>
    </w:p>
    <w:p>
      <w:r>
        <w:rPr>
          <w:b/>
        </w:rPr>
        <w:t xml:space="preserve">[CRITICAL] volume_spike: </w:t>
      </w:r>
      <w:r>
        <w:t>Incremento de volumen del 291% entre 2026-03-29 (866) y 2026-03-30 (3384)</w:t>
      </w:r>
    </w:p>
    <w:p>
      <w:r>
        <w:rPr>
          <w:b/>
        </w:rPr>
        <w:t xml:space="preserve">[WARNING] sentiment_shift: </w:t>
      </w:r>
      <w:r>
        <w:t>Cambio de sentimiento negativo: aumento de 16.5% a 27.1% entre la primera y segunda mitad del periodo</w:t>
      </w:r>
    </w:p>
    <w:p/>
    <w:p>
      <w:pPr>
        <w:pStyle w:val="Heading1"/>
      </w:pPr>
      <w:r>
        <w:t>ANÁLISIS DE CRISIS: AVIANCA</w:t>
      </w:r>
    </w:p>
    <w:p>
      <w:r>
        <w:rPr>
          <w:b/>
        </w:rPr>
        <w:t>Marzo 2026 | Incidente Yeferson Cossio</w:t>
      </w:r>
    </w:p>
    <w:p/>
    <w:p>
      <w:pPr>
        <w:pStyle w:val="Heading2"/>
      </w:pPr>
      <w:r>
        <w:t>RESUMEN EJECUTIVO</w:t>
      </w:r>
    </w:p>
    <w:p/>
    <w:p>
      <w:r>
        <w:t>El 11 de marzo de 2026, el influencer Yeferson Cossio activó un artefacto generador de olor químico durante el vuelo AV46 de Avianca entre Bogotá y Madrid, afectando la seguridad y comodidad de pasajeros y tripulación. La crisis estalló públicamente el 29 de marzo cuando Avianca emitió un comunicado anunciando la cancelación del vuelo de regreso de Cossio y acciones legales correspondientes. La conversación digital generó 28,501 menciones en una semana, con picos de hasta 3,384 menciones diarias y dominancia en TikTok y Facebook.</w:t>
      </w:r>
    </w:p>
    <w:p/>
    <w:p>
      <w:r>
        <w:t>La reputación de Avianca enfrenta tensión entre el respaldo por defender protocolos de seguridad y críticas por "exagerar" una broma. El sentimiento negativo hacia la aerolínea alcanza 21% en conversaciones que la mencionan específicamente, mientras que las menciones de intersección (Avianca + Cossio) muestran 20.5% de sentimiento negativo. La narrativa dominante posiciona a Avianca como víctima de comportamiento irresponsable, pero emergen cuestionamientos sobre la proporcionalidad de la respuesta.</w:t>
      </w:r>
    </w:p>
    <w:p/>
    <w:p>
      <w:r>
        <w:t>Avianca debe ejecutar comunicación proactiva defendiendo protocolos de seguridad, monitorear conversaciones sobre precedentes legales, y preparar respuesta ante escalamiento mediático. La gestión inmediata requiere refuerzo del mensaje de seguridad primero, seguimiento de desarrollos legales, y activación de voceros técnicos especializados.</w:t>
      </w:r>
    </w:p>
    <w:p/>
    <w:p>
      <w:pPr>
        <w:pStyle w:val="Heading2"/>
      </w:pPr>
      <w:r>
        <w:t>MÉTRICAS CLAVE</w:t>
      </w:r>
    </w:p>
    <w:p/>
    <w:p>
      <w:r>
        <w:t>**Volumen total**: 28,501 menciones (+401% pico el 29/03, +291% el 30/03)</w:t>
      </w:r>
    </w:p>
    <w:p>
      <w:r>
        <w:t>**Distribución por actor**: Cossio domina con 59.8% vs Avianca 17.3% vs conversación general 22.9%</w:t>
      </w:r>
    </w:p>
    <w:p>
      <w:r>
        <w:t>**Plataformas principales**: TikTok (34.8%) y Facebook (34.7%) concentran 70% del volumen</w:t>
      </w:r>
    </w:p>
    <w:p>
      <w:r>
        <w:t>**Intersección crítica**: 1,483 menciones (5.2%) donde colisionan ambos actores con 20.5% sentimiento negativo</w:t>
      </w:r>
    </w:p>
    <w:p>
      <w:r>
        <w:t>**Engagement promedio**: 61.24 con picos en conversación de Cossio (29.23) vs general (166.94)</w:t>
      </w:r>
    </w:p>
    <w:p/>
    <w:p>
      <w:r>
        <w:t>El patrón temporal revela crisis controlada: volumen bajo hasta 28/03, explosión 29-30/03, normalización gradual. La concentración en redes visuales (TikTok/Facebook) sugiere narrativa viral más que cobertura periodística tradicional.</w:t>
      </w:r>
    </w:p>
    <w:p/>
    <w:p>
      <w:pPr>
        <w:pStyle w:val="Heading2"/>
      </w:pPr>
      <w:r>
        <w:t>NARRATIVAS PRINCIPALES</w:t>
      </w:r>
    </w:p>
    <w:p/>
    <w:p>
      <w:pPr>
        <w:pStyle w:val="Heading3"/>
      </w:pPr>
      <w:r>
        <w:t>Avianca como Defensora de Seguridad Aérea</w:t>
      </w:r>
    </w:p>
    <w:p/>
    <w:p>
      <w:r>
        <w:t>La narrativa central posiciona a Avianca tomando medidas necesarias para proteger pasajeros y tripulación ante comportamiento que compromete protocolos de seguridad. La conversación enfatiza la responsabilidad corporativa de la aerolínea y la seriedad del incidente en espacio presurizado sobre el Atlántico. Esta narrativa genera respaldo entre usuarios que priorizan seguridad aérea y ven las acciones de Avianca como ejemplarizantes. Sin embargo, enfrenta contrapeso de quienes consideran la respuesta desproporcionada para una "broma".</w:t>
      </w:r>
    </w:p>
    <w:p/>
    <w:p>
      <w:r>
        <w:t>**Evidencia**: "Avianca tiene toda la razón y no exagero! Comprometió la seguridad de los pasajeros. Muy mal" [tiktok.com, 2026-03-30]. "Eso es una falta de respeto y Avianca debería de tomar acciones legales" [tiktok.com, 2026-03-30]. "No se trata de que sea tóxico señor, literalmente la aerolínea reitera que este olor químico afecta directamente la comodidad, orden y seguridad de otros pasajeros y tripulantes" [tiktok.com, 2026-03-30].</w:t>
      </w:r>
    </w:p>
    <w:p/>
    <w:p>
      <w:r>
        <w:t>**Implicación**: Avianca logra posicionarse como marca responsable que prioriza seguridad, pero debe mantener equilibrio para evitar percepción de severidad excesiva que afecte imagen de servicio al cliente.</w:t>
      </w:r>
    </w:p>
    <w:p/>
    <w:p>
      <w:pPr>
        <w:pStyle w:val="Heading3"/>
      </w:pPr>
      <w:r>
        <w:t>Cuestionamiento de Proporcionalidad de la Respuesta</w:t>
      </w:r>
    </w:p>
    <w:p/>
    <w:p>
      <w:r>
        <w:t>Emerge narrativa secundaria que cuestiona si las medidas de Avianca (cancelación de vuelo de regreso y acciones legales) son proporcionales al incidente. Esta conversación genera simpatía hacia Cossio y presenta a Avianca como empresa que "exagera" o busca "sacar provecho" de la situación. Los usuarios debaten límites entre seguridad legítima y reacción desmedida, especialmente considerando que no hubo daños físicos ni peligro real.</w:t>
      </w:r>
    </w:p>
    <w:p/>
    <w:p>
      <w:r>
        <w:t>**Evidencia**: "Avianca quiere sacar provecho de la figura pública de Cossío eso es todo. Es la peor aerolínea del país y su pésimo servicio siempre ha sido una problemática" [Facebook, 2026-03-30]. "dicen que en los aeropuertos ha mucha seguridad entonces porqué permitieron que este señor llevará algo con olor químico, los señores de la aerolínea están exagerando" [tiktok.com, 2026-03-30].</w:t>
      </w:r>
    </w:p>
    <w:p/>
    <w:p>
      <w:r>
        <w:t>**Implicación**: Riesgo de backlash que transforme a Avianca de víctima en victimario, especialmente si la narrativa de "exageración" gana tracción en medios tradicionales.</w:t>
      </w:r>
    </w:p>
    <w:p/>
    <w:p>
      <w:pPr>
        <w:pStyle w:val="Heading3"/>
      </w:pPr>
      <w:r>
        <w:t>Debate sobre Responsabilidad de Influencers</w:t>
      </w:r>
    </w:p>
    <w:p/>
    <w:p>
      <w:r>
        <w:t>La conversación trasciende el incidente específico hacia reflexión más amplia sobre responsabilidad social de creadores de contenido y límites del entretenimiento digital. Los usuarios debaten si los influencers deben enfrentar consecuencias reales por "bromas" que afectan terceros, especialmente en contextos de seguridad pública. Esta narrativa fortalece la posición de Avianca como empresa que establece precedentes necesarios.</w:t>
      </w:r>
    </w:p>
    <w:p/>
    <w:p>
      <w:r>
        <w:t>**Evidencia**: "Nea, jugar con la seguridad de un vuelo no es chistoso, más de 200 pasajeros viéndose afectados por una 'bromita'" [Instagram, 2026-03-30]. "Que no se normalice la falta de respeto 👍" [tiktok.com, 2026-03-30].</w:t>
      </w:r>
    </w:p>
    <w:p/>
    <w:p>
      <w:r>
        <w:t>**Implicación**: Avianca se beneficia del contexto más amplio de fatiga social hacia comportamientos irresponsables de influencers, posicionándose como marca que defiende valores tradicionales de respeto y responsabilidad.</w:t>
      </w:r>
    </w:p>
    <w:p/>
    <w:p>
      <w:pPr>
        <w:pStyle w:val="Heading2"/>
      </w:pPr>
      <w:r>
        <w:t>ANÁLISIS DE PICOS Y ANOMALÍAS</w:t>
      </w:r>
    </w:p>
    <w:p/>
    <w:p>
      <w:r>
        <w:t>**Pico Primario - 29 de marzo**: Volumen aumentó 401% (173→866 menciones) coincidiendo con comunicado oficial de Avianca. La aerolínea controló la narrativa inicial al publicar primero su versión, generando respaldo inmediato antes de la respuesta de Cossio.</w:t>
      </w:r>
    </w:p>
    <w:p/>
    <w:p>
      <w:r>
        <w:t>**Pico Máximo - 30 de marzo**: Explosión a 3,384 menciones (+291%) cuando Cossio respondió públicamente y admitió el incidente. Este pico concentra mayor volumen negativo hacia ambos actores, sugiriendo polarización de audiencias.</w:t>
      </w:r>
    </w:p>
    <w:p/>
    <w:p>
      <w:r>
        <w:t>**Normalización Gradual - 31 marzo-2 abril**: Descenso sostenido pero lento (3,384→2,585→765→804), indicando interés prolongado sin nuevos catalizadores. La conversación se mantiene activa por debates sobre precedentes legales y responsabilidad corporativa.</w:t>
      </w:r>
    </w:p>
    <w:p/>
    <w:p>
      <w:r>
        <w:t>**Anomalía de Sentimiento**: Cambio notable en conversación sobre Avianca con aumento de sentimiento negativo de 12.6% a 25.6% entre primera y segunda mitad del período, sugiriendo deterioro gradual conforme la narrativa evoluciona.</w:t>
      </w:r>
    </w:p>
    <w:p/>
    <w:p>
      <w:pPr>
        <w:pStyle w:val="Heading2"/>
      </w:pPr>
      <w:r>
        <w:t>RECOMENDACIONES ESTRATÉGICAS</w:t>
      </w:r>
    </w:p>
    <w:p>
      <w:r>
        <w:rPr>
          <w:b/>
        </w:rPr>
        <w:t>Borrador — requiere revisión del analista</w:t>
      </w:r>
    </w:p>
    <w:p/>
    <w:p>
      <w:pPr>
        <w:pStyle w:val="Heading3"/>
      </w:pPr>
      <w:r>
        <w:t>RECOMENDACIÓN 1: Activación Inmediata de Vocería Técnica Especializada</w:t>
      </w:r>
    </w:p>
    <w:p>
      <w:r>
        <w:t>**Acción**: Desplegar voceros de seguridad aérea y operaciones para reforzar mensaje técnico sobre protocolos y riesgos en cabina presurizada.</w:t>
      </w:r>
    </w:p>
    <w:p>
      <w:r>
        <w:t>**Fundamento**: El 20.5% de sentimiento negativo en intersección requiere contrarrestarse con autoridad técnica que valide las decisiones operativas. La narrativa de "exageración" (evidenciada en múltiples menciones) debe neutralizarse con explicación técnica de riesgos reales en entornos de aviación.</w:t>
      </w:r>
    </w:p>
    <w:p>
      <w:r>
        <w:t>**Métrica de éxito**: Reducir sentimiento negativo en menciones de intersección por debajo del 15% en próximos 7 días.</w:t>
      </w:r>
    </w:p>
    <w:p/>
    <w:p>
      <w:pPr>
        <w:pStyle w:val="Heading3"/>
      </w:pPr>
      <w:r>
        <w:t>RECOMENDACIÓN 2: Monitoreo Intensivo de Escalamiento Legal y Mediático</w:t>
      </w:r>
    </w:p>
    <w:p>
      <w:r>
        <w:t>**Acción**: Implementar seguimiento en tiempo real de desarrollos legales, respuestas de Cossio y cobertura mediática tradicional.</w:t>
      </w:r>
    </w:p>
    <w:p>
      <w:r>
        <w:t>**Fundamento**: Los picos del 29-30 marzo demuestran alta sensibilidad a declaraciones de ambas partes, con volumen máximo de 3,384 menciones cuando Cossio respondió. El proceso legal puede generar nuevos ciclos virales que requieren respuesta inmediata.</w:t>
      </w:r>
    </w:p>
    <w:p>
      <w:r>
        <w:t>**Métrica de éxito**: Tiempo de respuesta menor a 2 horas ante nuevos desarrollos que generen &gt;500 menciones diarias.</w:t>
      </w:r>
    </w:p>
    <w:p/>
    <w:p>
      <w:pPr>
        <w:pStyle w:val="Heading3"/>
      </w:pPr>
      <w:r>
        <w:t>RECOMENDACIÓN 3: Campaña de Refuerzo Reputacional en Seguridad</w:t>
      </w:r>
    </w:p>
    <w:p>
      <w:r>
        <w:t>**Acción**: Lanzar contenido educativo sobre protocolos de seguridad aérea y casos históricos donde medidas preventivas evitaron incidentes mayores.</w:t>
      </w:r>
    </w:p>
    <w:p>
      <w:r>
        <w:t>**Fundamento**: El 21% de sentimiento negativo específico hacia Avianca requiere compensación proactiva que reposicione a la marca como líder en seguridad. La dominancia en TikTok (34.8% del volumen) ofrece oportunidad de comunicación directa con audiencias jóvenes.</w:t>
      </w:r>
    </w:p>
    <w:p>
      <w:r>
        <w:t>**Métrica de éxito**: Incrementar sentimiento positivo hacia Avianca del 12.6% actual al 20% en próximas 2 semanas.</w:t>
      </w:r>
    </w:p>
    <w:p/>
    <w:p>
      <w:pPr>
        <w:pStyle w:val="Heading2"/>
      </w:pPr>
      <w:r>
        <w:t>NOTA METODOLÓGICA</w:t>
      </w:r>
    </w:p>
    <w:p/>
    <w:p>
      <w:r>
        <w:t>Análisis basado en 28,501 menciones del 6 marzo - 7 abril 2026 across plataformas digitales principales (TikTok, Facebook, Instagram, Twitter, YouTube). Muestra incluye 134 menciones representativas con enfoque en temas clave identificados algorítmicamente. Reclasificación de sentimiento aplicada a 32.1% de menciones inicialmente no clasificadas, con 19.6% procesadas por reglas y 14.4% por IA. Calidad de datos optimizada tras eliminación de 7,371 duplicados y validación de fechas inconsistentes.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999999"/>
        <w:sz w:val="16"/>
      </w:rPr>
      <w:t>Generado por Epical Intelligence System — Borrador para revision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