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spacing w:after="180"/>
      </w:pPr>
      <w:r>
        <w:t xml:space="preserve">Psi Upsilon Digital Museum · History &amp; Archives</w:t>
      </w:r>
    </w:p>
    <w:p>
      <w:pPr>
        <w:pStyle w:val="Title"/>
        <w:spacing w:after="180"/>
      </w:pPr>
      <w:r>
        <w:rPr>
          <w:rFonts w:ascii="Georgia" w:cs="Georgia" w:eastAsia="Georgia" w:hAnsi="Georgia"/>
          <w:b/>
          <w:bCs/>
          <w:color w:val="7A1428"/>
          <w:sz w:val="46"/>
          <w:szCs w:val="46"/>
        </w:rPr>
        <w:t xml:space="preserve">Filling in the Founders and the Timeline</w:t>
      </w:r>
    </w:p>
    <w:p>
      <w:pPr>
        <w:pStyle w:val="Lede"/>
      </w:pPr>
      <w:r>
        <w:t xml:space="preserve">Two new parts of the Digital Museum — a page for each of the seven founders, and an interactive timeline of the Fraternity — are built and live, and are waiting for you to write into them. You do it in Excel. There is no code to touch.</w:t>
      </w:r>
    </w:p>
    <w:p>
      <w:pPr>
        <w:pBdr>
          <w:left w:val="single" w:color="8A6A24" w:sz="18" w:space="8"/>
        </w:pBdr>
        <w:shd w:fill="F4EFE6" w:val="clear"/>
        <w:spacing w:after="200" w:before="120" w:line="276"/>
        <w:ind w:left="120" w:right="120"/>
      </w:pPr>
      <w:r>
        <w:rPr>
          <w:b/>
          <w:bCs/>
        </w:rPr>
        <w:t xml:space="preserve">The short version. </w:t>
      </w:r>
      <w:r>
        <w:t xml:space="preserve">Open data\founders.xlsx. Type into the yellow cells. Save. Double-click build\build.bat (or run bash build/build.sh). The website rebuilds with your words in it. Same for data\timeline.xlsx. That is the whole procedure — the rest of this document is detail.</w:t>
      </w:r>
    </w:p>
    <w:p>
      <w:pPr>
        <w:pStyle w:val="Heading1"/>
        <w:spacing w:after="160" w:before="360"/>
      </w:pPr>
      <w:r>
        <w:t xml:space="preserve">1.  What has changed</w:t>
      </w:r>
    </w:p>
    <w:p>
      <w:pPr>
        <w:pStyle w:val="Heading2"/>
        <w:spacing w:after="120" w:before="300"/>
      </w:pPr>
      <w:r>
        <w:t xml:space="preserve">The name</w:t>
      </w:r>
    </w:p>
    <w:p>
      <w:pPr>
        <w:spacing w:after="160" w:line="276"/>
      </w:pPr>
      <w:r>
        <w:t xml:space="preserve">The site is now the </w:t>
      </w:r>
      <w:r>
        <w:rPr>
          <w:b/>
          <w:bCs/>
        </w:rPr>
        <w:t xml:space="preserve">Psi Upsilon Digital Museum</w:t>
      </w:r>
      <w:r>
        <w:t xml:space="preserve">. That name is on every page, in the browser tab, in the link previews when someone shares it, and in the suggested credit line on the About page. Nothing you have to do — it is already done throughout.</w:t>
      </w:r>
    </w:p>
    <w:p>
      <w:pPr>
        <w:pStyle w:val="Heading2"/>
        <w:spacing w:after="120" w:before="300"/>
      </w:pPr>
      <w:r>
        <w:t xml:space="preserve">Two new sections in the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Page</w:t>
            </w:r>
          </w:p>
        </w:tc>
        <w:tc>
          <w:tcPr>
            <w:tcW w:type="dxa" w:w="72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is on it</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Timeline</w:t>
            </w:r>
          </w:p>
        </w:tc>
        <w:tc>
          <w:tcPr>
            <w:tcW w:type="dxa" w:w="7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Every dated event in the Fraternity’s history on one scrolling page, 1833 to today, with filters by kind of event and a decade rail down the side. 95 events are on it now: 18 written by hand from the Annals, and every chapter’s chartering and closing, added automatically.</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Founders</w:t>
            </w:r>
          </w:p>
        </w:tc>
        <w:tc>
          <w:tcPr>
            <w:tcW w:type="dxa" w:w="72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card for each of the seven, and a full page behind each card. The pages already carry what could be transcribed from the Annals — class year, role in the founding, profession, year and place of birth and death — plus every page of every scanned volume that names them. What they do not have yet is the writing: the biography, the family, the burial place. That is what the spreadsheet is for.</w:t>
            </w:r>
          </w:p>
        </w:tc>
      </w:tr>
    </w:tbl>
    <w:p>
      <w:pPr>
        <w:spacing w:after="200"/>
      </w:pPr>
    </w:p>
    <w:p>
      <w:pPr>
        <w:pStyle w:val="Heading2"/>
        <w:spacing w:after="120" w:before="300"/>
      </w:pPr>
      <w:r>
        <w:t xml:space="preserve">Why a spreadsheet</w:t>
      </w:r>
    </w:p>
    <w:p>
      <w:pPr>
        <w:spacing w:after="160" w:line="276"/>
      </w:pPr>
      <w:r>
        <w:t xml:space="preserve">The founders’ pages and the timeline are generated from two small data files. Those files are written in a programmer’s format, and editing them by hand is a good way to break the site with a stray comma. So the build now reads </w:t>
      </w:r>
      <w:r>
        <w:rPr>
          <w:b/>
          <w:bCs/>
        </w:rPr>
        <w:t xml:space="preserve">Excel spreadsheets</w:t>
      </w:r>
      <w:r>
        <w:t xml:space="preserve"> instead. Each one has a row per record, a column per field, a comment on every cell explaining what goes in it, and a colour telling you whether you may type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Colour</w:t>
            </w:r>
          </w:p>
        </w:tc>
        <w:tc>
          <w:tcPr>
            <w:tcW w:type="dxa" w:w="78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Meaning</w:t>
            </w:r>
          </w:p>
        </w:tc>
      </w:tr>
      <w:tr>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Pale yellow</w:t>
            </w:r>
          </w:p>
        </w:tc>
        <w:tc>
          <w:tcPr>
            <w:tcW w:type="dxa" w:w="78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Type here. This is yours to fill in or change.</w:t>
            </w:r>
          </w:p>
        </w:tc>
      </w:tr>
      <w:tr>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Grey</w:t>
            </w:r>
          </w:p>
        </w:tc>
        <w:tc>
          <w:tcPr>
            <w:tcW w:type="dxa" w:w="78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Leave alone. Usually the id — the invisible name that ties a founder to their page and to every mention of them in the scans. Change it and the links break.</w:t>
            </w:r>
          </w:p>
        </w:tc>
      </w:tr>
      <w:tr>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Garnet</w:t>
            </w:r>
          </w:p>
        </w:tc>
        <w:tc>
          <w:tcPr>
            <w:tcW w:type="dxa" w:w="78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header row. Do not rename, reorder or delete columns.</w:t>
            </w:r>
          </w:p>
        </w:tc>
      </w:tr>
    </w:tbl>
    <w:p>
      <w:r>
        <w:br w:type="page"/>
      </w:r>
    </w:p>
    <w:p>
      <w:pPr>
        <w:pStyle w:val="Heading1"/>
        <w:spacing w:after="160" w:before="360"/>
      </w:pPr>
      <w:r>
        <w:t xml:space="preserve">2.  The founders’ spreadsheet</w:t>
      </w:r>
    </w:p>
    <w:p>
      <w:pPr>
        <w:spacing w:after="160" w:line="276"/>
      </w:pPr>
      <w:r>
        <w:t xml:space="preserve">The file is </w:t>
      </w:r>
      <w:r>
        <w:rPr>
          <w:rFonts w:ascii="Consolas" w:cs="Consolas" w:eastAsia="Consolas" w:hAnsi="Consolas"/>
          <w:sz w:val="19"/>
          <w:szCs w:val="19"/>
        </w:rPr>
        <w:t xml:space="preserve">data\founders.xlsx</w:t>
      </w:r>
      <w:r>
        <w:t xml:space="preserve">. Seven rows, one per founder, already in the order they appear on the site. Eighteen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6110"/>
      </w:tblGrid>
      <w:tr>
        <w:trPr>
          <w:tblHeader/>
        </w:trPr>
        <w:tc>
          <w:tcPr>
            <w:tcW w:type="dxa" w:w="175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Column</w:t>
            </w:r>
          </w:p>
        </w:tc>
        <w:tc>
          <w:tcPr>
            <w:tcW w:type="dxa" w:w="15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Example</w:t>
            </w:r>
          </w:p>
        </w:tc>
        <w:tc>
          <w:tcPr>
            <w:tcW w:type="dxa" w:w="611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Notes</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id</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robert-barnard</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GREY. Never change.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name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Robert Barnard</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As it should read at the top of the page.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honorific</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Rev.</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Only if one applies. Leave blank otherwise.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class_year</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1837</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Four digits.</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role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Founder; entered college at sixteen</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line, shown under the name. His part in the founding.</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profession</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Lawyer</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What he did for a living. A few words.</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born_year</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1818</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Blank if unknown — blank is honest, a guess is not.</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born_place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Sheffield, Massachusetts</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Town and state, as it was then.</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died_year</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1889</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died_place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Chicago, Illinois</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buried_place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Green-Wood Cemetery, Brooklyn, New York</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Cemetery, then town and state.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findagrave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https://www.findagrave.com/memorial/12345</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Paste the whole web address. The page turns it into a button.</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family</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Son of Ichabod and Sarah Barnard…</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paragraph. Parents, wife, children, and any Psi U relations — those are worth naming, with chapter and class year.</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bio</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Barnard entered Union College in 1833…</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main biography. As long as you like. Leave a blank line between paragraphs (Alt+Enter twice) and the page breaks them properly.</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achievements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Admitted to the New York bar, 1840
Elected…</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PER LINE. Alt+Enter starts a new line inside the cell. Each becomes a bullet.</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annals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Annals of Psi Upsilon, Part 2, pp. 60–62</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Where the facts came from. Shown as the source note.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portrait</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barnard.jpg</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file name only. Put the picture in site\assets\founders\ first. See §4.</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links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Wikipedia | https://en.wikipedia.org/wiki/…</w:t>
            </w:r>
          </w:p>
        </w:tc>
        <w:tc>
          <w:tcPr>
            <w:tcW w:type="dxa" w:w="61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PER LINE, each written as the words you want to show, a vertical bar, then the address. See below.</w:t>
            </w:r>
          </w:p>
        </w:tc>
      </w:tr>
    </w:tbl>
    <w:p>
      <w:pPr>
        <w:pStyle w:val="Heading2"/>
        <w:spacing w:after="120" w:before="300"/>
      </w:pPr>
      <w:r>
        <w:t xml:space="preserve">The two columns that catch people out</w:t>
      </w:r>
    </w:p>
    <w:p>
      <w:pPr>
        <w:pStyle w:val="Heading3"/>
        <w:spacing w:after="100" w:before="240"/>
      </w:pPr>
      <w:r>
        <w:t xml:space="preserve">achievements — one per line</w:t>
      </w:r>
    </w:p>
    <w:p>
      <w:pPr>
        <w:spacing w:after="160" w:line="276"/>
      </w:pPr>
      <w:r>
        <w:t xml:space="preserve">Inside a single cell, press </w:t>
      </w:r>
      <w:r>
        <w:rPr>
          <w:b/>
          <w:bCs/>
        </w:rPr>
        <w:t xml:space="preserve">Alt+Enter</w:t>
      </w:r>
      <w:r>
        <w:t xml:space="preserve"> to start a new line rather than moving to the next cell. Each line becomes one bullet on the page. So the cell should end up looking like this:</w:t>
      </w:r>
    </w:p>
    <w:p>
      <w:pPr>
        <w:shd w:fill="F2EEE7" w:val="clear"/>
        <w:spacing w:after="0" w:before="40"/>
        <w:ind w:left="240" w:right="240"/>
      </w:pPr>
      <w:r>
        <w:rPr>
          <w:rFonts w:ascii="Consolas" w:cs="Consolas" w:eastAsia="Consolas" w:hAnsi="Consolas"/>
          <w:sz w:val="18"/>
          <w:szCs w:val="18"/>
        </w:rPr>
        <w:t xml:space="preserve">Admitted to the New York bar, 1840</w:t>
      </w:r>
    </w:p>
    <w:p>
      <w:pPr>
        <w:shd w:fill="F2EEE7" w:val="clear"/>
        <w:spacing w:after="0" w:before="0"/>
        <w:ind w:left="240" w:right="240"/>
      </w:pPr>
      <w:r>
        <w:rPr>
          <w:rFonts w:ascii="Consolas" w:cs="Consolas" w:eastAsia="Consolas" w:hAnsi="Consolas"/>
          <w:sz w:val="18"/>
          <w:szCs w:val="18"/>
        </w:rPr>
        <w:t xml:space="preserve">Member, New York State Assembly, 1851–1853</w:t>
      </w:r>
    </w:p>
    <w:p>
      <w:pPr>
        <w:shd w:fill="F2EEE7" w:val="clear"/>
        <w:spacing w:after="160" w:before="0"/>
        <w:ind w:left="240" w:right="240"/>
      </w:pPr>
      <w:r>
        <w:rPr>
          <w:rFonts w:ascii="Consolas" w:cs="Consolas" w:eastAsia="Consolas" w:hAnsi="Consolas"/>
          <w:sz w:val="18"/>
          <w:szCs w:val="18"/>
        </w:rPr>
        <w:t xml:space="preserve">Surrogate of Rensselaer County, 1856–1864</w:t>
      </w:r>
    </w:p>
    <w:p>
      <w:pPr>
        <w:pStyle w:val="Heading3"/>
        <w:spacing w:after="100" w:before="240"/>
      </w:pPr>
      <w:r>
        <w:t xml:space="preserve">links — label, bar, address</w:t>
      </w:r>
    </w:p>
    <w:p>
      <w:pPr>
        <w:spacing w:after="160" w:line="276"/>
      </w:pPr>
      <w:r>
        <w:t xml:space="preserve">These are the “learn more elsewhere” links — Wikipedia, Find a Grave, a college archive, a findable obituary. Write each one as the words you want the reader to see, then a vertical bar </w:t>
      </w:r>
      <w:r>
        <w:rPr>
          <w:rFonts w:ascii="Consolas" w:cs="Consolas" w:eastAsia="Consolas" w:hAnsi="Consolas"/>
          <w:sz w:val="19"/>
          <w:szCs w:val="19"/>
        </w:rPr>
        <w:t xml:space="preserve">|</w:t>
      </w:r>
      <w:r>
        <w:t xml:space="preserve">, then the web address. One per line, again with Alt+Enter:</w:t>
      </w:r>
    </w:p>
    <w:p>
      <w:pPr>
        <w:shd w:fill="F2EEE7" w:val="clear"/>
        <w:spacing w:after="0" w:before="40"/>
        <w:ind w:left="240" w:right="240"/>
      </w:pPr>
      <w:r>
        <w:rPr>
          <w:rFonts w:ascii="Consolas" w:cs="Consolas" w:eastAsia="Consolas" w:hAnsi="Consolas"/>
          <w:sz w:val="18"/>
          <w:szCs w:val="18"/>
        </w:rPr>
        <w:t xml:space="preserve">Wikipedia | https://en.wikipedia.org/wiki/Edward_Martindale</w:t>
      </w:r>
    </w:p>
    <w:p>
      <w:pPr>
        <w:shd w:fill="F2EEE7" w:val="clear"/>
        <w:spacing w:after="0" w:before="0"/>
        <w:ind w:left="240" w:right="240"/>
      </w:pPr>
      <w:r>
        <w:rPr>
          <w:rFonts w:ascii="Consolas" w:cs="Consolas" w:eastAsia="Consolas" w:hAnsi="Consolas"/>
          <w:sz w:val="18"/>
          <w:szCs w:val="18"/>
        </w:rPr>
        <w:t xml:space="preserve">Union College archives | https://www.union.edu/special-collections</w:t>
      </w:r>
    </w:p>
    <w:p>
      <w:pPr>
        <w:shd w:fill="F2EEE7" w:val="clear"/>
        <w:spacing w:after="160" w:before="0"/>
        <w:ind w:left="240" w:right="240"/>
      </w:pPr>
      <w:r>
        <w:rPr>
          <w:rFonts w:ascii="Consolas" w:cs="Consolas" w:eastAsia="Consolas" w:hAnsi="Consolas"/>
          <w:sz w:val="18"/>
          <w:szCs w:val="18"/>
        </w:rPr>
        <w:t xml:space="preserve">Obituary, New York Times, 1889 | https://…</w:t>
      </w:r>
    </w:p>
    <w:p>
      <w:pPr>
        <w:pBdr>
          <w:left w:val="single" w:color="8A6A24" w:sz="18" w:space="8"/>
        </w:pBdr>
        <w:shd w:fill="F4EFE6" w:val="clear"/>
        <w:spacing w:after="200" w:before="120" w:line="276"/>
        <w:ind w:left="120" w:right="120"/>
      </w:pPr>
      <w:r>
        <w:rPr>
          <w:b/>
          <w:bCs/>
        </w:rPr>
        <w:t xml:space="preserve">If a link has no bar and label, </w:t>
      </w:r>
      <w:r>
        <w:t xml:space="preserve">the page shows the bare address, which looks like a mistake. The bar is the only punctuation that matters in this whole spreadsheet.</w:t>
      </w:r>
    </w:p>
    <w:p>
      <w:pPr>
        <w:pStyle w:val="Heading2"/>
        <w:spacing w:after="120" w:before="300"/>
      </w:pPr>
      <w:r>
        <w:t xml:space="preserve">If you only have ten minutes</w:t>
      </w:r>
    </w:p>
    <w:p>
      <w:pPr>
        <w:spacing w:after="160" w:line="276"/>
      </w:pPr>
      <w:r>
        <w:t xml:space="preserve">Fill in these few columns for all seven and the pages are transformed: </w:t>
      </w:r>
    </w:p>
    <w:p>
      <w:pPr>
        <w:pStyle w:val="ListParagraph"/>
        <w:numPr>
          <w:ilvl w:val="0"/>
          <w:numId w:val="2"/>
        </w:numPr>
        <w:spacing w:after="90" w:line="276"/>
      </w:pPr>
      <w:r>
        <w:rPr>
          <w:b/>
          <w:bCs/>
        </w:rPr>
        <w:t xml:space="preserve">bio</w:t>
      </w:r>
      <w:r>
        <w:t xml:space="preserve"> — even three sentences each. This is the one that matters most.</w:t>
      </w:r>
    </w:p>
    <w:p>
      <w:pPr>
        <w:pStyle w:val="ListParagraph"/>
        <w:numPr>
          <w:ilvl w:val="0"/>
          <w:numId w:val="2"/>
        </w:numPr>
        <w:spacing w:after="90" w:line="276"/>
      </w:pPr>
      <w:r>
        <w:rPr>
          <w:b/>
          <w:bCs/>
        </w:rPr>
        <w:t xml:space="preserve">buried_place</w:t>
      </w:r>
      <w:r>
        <w:t xml:space="preserve"> and </w:t>
      </w:r>
      <w:r>
        <w:rPr>
          <w:b/>
          <w:bCs/>
        </w:rPr>
        <w:t xml:space="preserve">findagrave</w:t>
      </w:r>
      <w:r>
        <w:t xml:space="preserve"> — quick to look up, and the thing visitors most often want.</w:t>
      </w:r>
    </w:p>
    <w:p>
      <w:pPr>
        <w:pStyle w:val="ListParagraph"/>
        <w:numPr>
          <w:ilvl w:val="0"/>
          <w:numId w:val="2"/>
        </w:numPr>
        <w:spacing w:after="90" w:line="276"/>
      </w:pPr>
      <w:r>
        <w:rPr>
          <w:b/>
          <w:bCs/>
        </w:rPr>
        <w:t xml:space="preserve">family</w:t>
      </w:r>
      <w:r>
        <w:t xml:space="preserve"> — the Annals gives you most of it.</w:t>
      </w:r>
    </w:p>
    <w:p>
      <w:r>
        <w:br w:type="page"/>
      </w:r>
    </w:p>
    <w:p>
      <w:pPr>
        <w:pStyle w:val="Heading1"/>
        <w:spacing w:after="160" w:before="360"/>
      </w:pPr>
      <w:r>
        <w:t xml:space="preserve">3.  The timeline spreadsheet</w:t>
      </w:r>
    </w:p>
    <w:p>
      <w:pPr>
        <w:spacing w:after="160" w:line="276"/>
      </w:pPr>
      <w:r>
        <w:t xml:space="preserve">The file is </w:t>
      </w:r>
      <w:r>
        <w:rPr>
          <w:rFonts w:ascii="Consolas" w:cs="Consolas" w:eastAsia="Consolas" w:hAnsi="Consolas"/>
          <w:sz w:val="19"/>
          <w:szCs w:val="19"/>
        </w:rPr>
        <w:t xml:space="preserve">data\timeline.xlsx</w:t>
      </w:r>
      <w:r>
        <w:t xml:space="preserve">. Eighteen rows to start with, each one an event taken from the Annals with a page reference. Add a row for each event you want to appear; delete a row to remove it. Eleven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6010"/>
      </w:tblGrid>
      <w:tr>
        <w:trPr>
          <w:tblHeader/>
        </w:trPr>
        <w:tc>
          <w:tcPr>
            <w:tcW w:type="dxa" w:w="175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Column</w:t>
            </w:r>
          </w:p>
        </w:tc>
        <w:tc>
          <w:tcPr>
            <w:tcW w:type="dxa" w:w="1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Example</w:t>
            </w:r>
          </w:p>
        </w:tc>
        <w:tc>
          <w:tcPr>
            <w:tcW w:type="dxa" w:w="601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Notes</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year</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1878</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Required. Four digits. What the timeline sorts by.</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date</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 June 1878</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Optional, if you know the exact day. Written out.</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category</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publications</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Required, and must be one of the six words below.</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title</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begins publication</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short line — the headline.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text</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first number appeared in…</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paragraph. Two or three sentences reads best.</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feature</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yes</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yes gives the event a larger card. Use it about a dozen times in all, no more, or nothing stands out.</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link</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documents/1878-diamond-1.html</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Optional. A page on this site (written as it appears after the site address), or a full web address to anywhere.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link_label</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 the first issue</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words on that link.</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source_doc</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annals-of-psi-upsilon-pt-02-the-chapters</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Optional, and worth the trouble: the id of the volume the fact came from. It makes the event cite itself, and clicking the citation opens the scan at the page.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source_page</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61</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page in that volume.</w:t>
            </w:r>
          </w:p>
        </w:tc>
      </w:tr>
      <w:tr>
        <w:tc>
          <w:tcPr>
            <w:tcW w:type="dxa" w:w="175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source_label</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Annals of Psi Upsilon, Part 2</w:t>
            </w:r>
          </w:p>
        </w:tc>
        <w:tc>
          <w:tcPr>
            <w:tcW w:type="dxa" w:w="601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How the citation should read.</w:t>
            </w:r>
          </w:p>
        </w:tc>
      </w:tr>
    </w:tbl>
    <w:p>
      <w:pPr>
        <w:pStyle w:val="Heading2"/>
        <w:spacing w:after="120" w:before="300"/>
      </w:pPr>
      <w:r>
        <w:t xml:space="preserve">The six categories</w:t>
      </w:r>
    </w:p>
    <w:p>
      <w:pPr>
        <w:spacing w:after="160" w:line="276"/>
      </w:pPr>
      <w:r>
        <w:t xml:space="preserve">These are the filter buttons at the top of the timeline. A category outside this list is refused when the spreadsheet is read in, and the message will tell you which row. Spelling matters; capitals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Type this</w:t>
            </w:r>
          </w:p>
        </w:tc>
        <w:tc>
          <w:tcPr>
            <w:tcW w:type="dxa" w:w="76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For</w:t>
            </w:r>
          </w:p>
        </w:tc>
      </w:tr>
      <w:tr>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founding</w:t>
            </w:r>
          </w:p>
        </w:tc>
        <w:tc>
          <w:tcPr>
            <w:tcW w:type="dxa" w:w="76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Pledge, the Constitution, the first initiate, the naming — the events of 1833 to 1838.</w:t>
            </w:r>
          </w:p>
        </w:tc>
      </w:tr>
      <w:tr>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expansion</w:t>
            </w:r>
          </w:p>
        </w:tc>
        <w:tc>
          <w:tcPr>
            <w:tcW w:type="dxa" w:w="76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Chapters: charterings, closings, re-establishments. You rarely need to type this one — all 50 chapters are added automatically from the chapter roll.</w:t>
            </w:r>
          </w:p>
        </w:tc>
      </w:tr>
      <w:tr>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publications</w:t>
            </w:r>
          </w:p>
        </w:tc>
        <w:tc>
          <w:tcPr>
            <w:tcW w:type="dxa" w:w="76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the catalogues, the songbooks, the Annals, the Convention Records.</w:t>
            </w:r>
          </w:p>
        </w:tc>
      </w:tr>
      <w:tr>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members</w:t>
            </w:r>
          </w:p>
        </w:tc>
        <w:tc>
          <w:tcPr>
            <w:tcW w:type="dxa" w:w="76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brother of note — an inauguration, a Heisman, a Nobel, a death in service.</w:t>
            </w:r>
          </w:p>
        </w:tc>
      </w:tr>
      <w:tr>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conventions</w:t>
            </w:r>
          </w:p>
        </w:tc>
        <w:tc>
          <w:tcPr>
            <w:tcW w:type="dxa" w:w="76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particular Convention worth marking on its own, and the governance that came out of one: the Executive Council, the incorporations, the International Office.</w:t>
            </w:r>
          </w:p>
        </w:tc>
      </w:tr>
      <w:tr>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insignia</w:t>
            </w:r>
          </w:p>
        </w:tc>
        <w:tc>
          <w:tcPr>
            <w:tcW w:type="dxa" w:w="76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Badge, the arms, the colours, the flag.</w:t>
            </w:r>
          </w:p>
        </w:tc>
      </w:tr>
    </w:tbl>
    <w:p>
      <w:pPr>
        <w:spacing w:after="160"/>
      </w:pPr>
    </w:p>
    <w:p>
      <w:pPr>
        <w:spacing w:after="160" w:line="276"/>
      </w:pPr>
      <w:r>
        <w:t xml:space="preserve">Six is deliberate — enough to be useful as filters, few enough that every button has something behind it. If you find you want a seventh (songs, say), it takes one line of code to add and is worth asking for rather than forcing an event into the wrong box.</w:t>
      </w:r>
    </w:p>
    <w:p>
      <w:pPr>
        <w:pBdr>
          <w:left w:val="single" w:color="8A6A24" w:sz="18" w:space="8"/>
        </w:pBdr>
        <w:shd w:fill="F4EFE6" w:val="clear"/>
        <w:spacing w:after="200" w:before="120" w:line="276"/>
        <w:ind w:left="120" w:right="120"/>
      </w:pPr>
      <w:r>
        <w:rPr>
          <w:b/>
          <w:bCs/>
        </w:rPr>
        <w:t xml:space="preserve">Chapter events are already there. </w:t>
      </w:r>
      <w:r>
        <w:t xml:space="preserve">Every chartering and every closure is generated from the chapter roll each time the site is built — 50 charterings and the closures. They are hidden behind a checkbox on the timeline so they do not drown the rest. Do not type them into the spreadsheet as well, or they will appear twice.</w:t>
      </w:r>
    </w:p>
    <w:p>
      <w:r>
        <w:br w:type="page"/>
      </w:r>
    </w:p>
    <w:p>
      <w:pPr>
        <w:pStyle w:val="Heading1"/>
        <w:spacing w:after="160" w:before="360"/>
      </w:pPr>
      <w:r>
        <w:t xml:space="preserve">4.  Portraits</w:t>
      </w:r>
    </w:p>
    <w:p>
      <w:pPr>
        <w:pStyle w:val="ListParagraph"/>
        <w:numPr>
          <w:ilvl w:val="0"/>
          <w:numId w:val="3"/>
        </w:numPr>
        <w:spacing w:after="100" w:line="276"/>
      </w:pPr>
      <w:r>
        <w:t xml:space="preserve">Put the picture in the folder </w:t>
      </w:r>
      <w:r>
        <w:rPr>
          <w:rFonts w:ascii="Consolas" w:cs="Consolas" w:eastAsia="Consolas" w:hAnsi="Consolas"/>
          <w:sz w:val="19"/>
          <w:szCs w:val="19"/>
        </w:rPr>
        <w:t xml:space="preserve">site\assets\founders\</w:t>
      </w:r>
      <w:r>
        <w:t xml:space="preserve">.</w:t>
      </w:r>
    </w:p>
    <w:p>
      <w:pPr>
        <w:pStyle w:val="ListParagraph"/>
        <w:numPr>
          <w:ilvl w:val="0"/>
          <w:numId w:val="3"/>
        </w:numPr>
        <w:spacing w:after="100" w:line="276"/>
      </w:pPr>
      <w:r>
        <w:t xml:space="preserve">Name it simply and in lower case — </w:t>
      </w:r>
      <w:r>
        <w:rPr>
          <w:rFonts w:ascii="Consolas" w:cs="Consolas" w:eastAsia="Consolas" w:hAnsi="Consolas"/>
          <w:sz w:val="19"/>
          <w:szCs w:val="19"/>
        </w:rPr>
        <w:t xml:space="preserve">barnard.jpg</w:t>
      </w:r>
      <w:r>
        <w:t xml:space="preserve">, </w:t>
      </w:r>
      <w:r>
        <w:rPr>
          <w:rFonts w:ascii="Consolas" w:cs="Consolas" w:eastAsia="Consolas" w:hAnsi="Consolas"/>
          <w:sz w:val="19"/>
          <w:szCs w:val="19"/>
        </w:rPr>
        <w:t xml:space="preserve">martindale.jpg</w:t>
      </w:r>
      <w:r>
        <w:t xml:space="preserve">. No spaces.</w:t>
      </w:r>
    </w:p>
    <w:p>
      <w:pPr>
        <w:pStyle w:val="ListParagraph"/>
        <w:numPr>
          <w:ilvl w:val="0"/>
          <w:numId w:val="3"/>
        </w:numPr>
        <w:spacing w:after="100" w:line="276"/>
      </w:pPr>
      <w:r>
        <w:t xml:space="preserve">Type that same file name into the </w:t>
      </w:r>
      <w:r>
        <w:rPr>
          <w:b/>
          <w:bCs/>
        </w:rPr>
        <w:t xml:space="preserve">portrait</w:t>
      </w:r>
      <w:r>
        <w:t xml:space="preserve"> column. The file name only, not the whole path.</w:t>
      </w:r>
    </w:p>
    <w:p>
      <w:pPr>
        <w:pStyle w:val="ListParagraph"/>
        <w:numPr>
          <w:ilvl w:val="0"/>
          <w:numId w:val="3"/>
        </w:numPr>
        <w:spacing w:after="100" w:line="276"/>
      </w:pPr>
      <w:r>
        <w:t xml:space="preserve">Rebuild. The portrait appears on the card and at the top of the page; without one, the page shows the founder’s initials in a garnet circle, which is deliberate and looks perfectly respectable.</w:t>
      </w:r>
    </w:p>
    <w:p>
      <w:pPr>
        <w:spacing w:after="160" w:line="276"/>
      </w:pPr>
      <w:r>
        <w:t xml:space="preserve">A photograph about 800 pixels on the long side is plenty. If you have something enormous, the build shrinks it for you.</w:t>
      </w:r>
    </w:p>
    <w:p>
      <w:pPr>
        <w:pBdr>
          <w:left w:val="single" w:color="8A6A24" w:sz="18" w:space="8"/>
        </w:pBdr>
        <w:shd w:fill="F4EFE6" w:val="clear"/>
        <w:spacing w:after="200" w:before="120" w:line="276"/>
        <w:ind w:left="120" w:right="120"/>
      </w:pPr>
      <w:r>
        <w:rPr>
          <w:b/>
          <w:bCs/>
        </w:rPr>
        <w:t xml:space="preserve">Copyright. </w:t>
      </w:r>
      <w:r>
        <w:t xml:space="preserve">A photograph taken before 1930 is almost certainly out of copyright and safe to publish. A modern photograph of an old portrait may not be — the photographer may hold rights in the photograph. Where a picture came from an institution, credit it in the annals column; where you are unsure, leave the initials.</w:t>
      </w:r>
    </w:p>
    <w:p>
      <w:pPr>
        <w:pStyle w:val="Heading1"/>
        <w:spacing w:after="160" w:before="360"/>
      </w:pPr>
      <w:r>
        <w:t xml:space="preserve">5.  Saving your work into the site</w:t>
      </w:r>
    </w:p>
    <w:p>
      <w:pPr>
        <w:pStyle w:val="ListParagraph"/>
        <w:numPr>
          <w:ilvl w:val="0"/>
          <w:numId w:val="4"/>
        </w:numPr>
        <w:spacing w:after="100" w:line="276"/>
      </w:pPr>
      <w:r>
        <w:t xml:space="preserve">Save and close the spreadsheet. It must be closed — Excel keeps a lock on an open file, and the build will stop and tell you so.</w:t>
      </w:r>
    </w:p>
    <w:p>
      <w:pPr>
        <w:pStyle w:val="ListParagraph"/>
        <w:numPr>
          <w:ilvl w:val="0"/>
          <w:numId w:val="4"/>
        </w:numPr>
        <w:spacing w:after="100" w:line="276"/>
      </w:pPr>
      <w:r>
        <w:t xml:space="preserve">Double-click </w:t>
      </w:r>
      <w:r>
        <w:rPr>
          <w:rFonts w:ascii="Consolas" w:cs="Consolas" w:eastAsia="Consolas" w:hAnsi="Consolas"/>
          <w:sz w:val="19"/>
          <w:szCs w:val="19"/>
        </w:rPr>
        <w:t xml:space="preserve">build\build.bat</w:t>
      </w:r>
      <w:r>
        <w:t xml:space="preserve">. A black window opens and works through five numbered steps. Leave it alone until it says </w:t>
      </w:r>
      <w:r>
        <w:rPr>
          <w:b/>
          <w:bCs/>
        </w:rPr>
        <w:t xml:space="preserve">Done</w:t>
      </w:r>
      <w:r>
        <w:t xml:space="preserve"> and asks you to press a key. Two or three minutes.</w:t>
      </w:r>
    </w:p>
    <w:p>
      <w:pPr>
        <w:pStyle w:val="ListParagraph"/>
        <w:numPr>
          <w:ilvl w:val="0"/>
          <w:numId w:val="4"/>
        </w:numPr>
        <w:spacing w:after="100" w:line="276"/>
      </w:pPr>
      <w:r>
        <w:t xml:space="preserve">Double-click </w:t>
      </w:r>
      <w:r>
        <w:rPr>
          <w:rFonts w:ascii="Consolas" w:cs="Consolas" w:eastAsia="Consolas" w:hAnsi="Consolas"/>
          <w:sz w:val="19"/>
          <w:szCs w:val="19"/>
        </w:rPr>
        <w:t xml:space="preserve">build\preview.bat</w:t>
      </w:r>
      <w:r>
        <w:t xml:space="preserve"> to look at the result on your own computer. Your browser opens the museum at </w:t>
      </w:r>
      <w:r>
        <w:rPr>
          <w:rFonts w:ascii="Consolas" w:cs="Consolas" w:eastAsia="Consolas" w:hAnsi="Consolas"/>
          <w:sz w:val="19"/>
          <w:szCs w:val="19"/>
        </w:rPr>
        <w:t xml:space="preserve">localhost:8000</w:t>
      </w:r>
      <w:r>
        <w:t xml:space="preserve">. Check the pages you changed. Close that black window when you are finished.</w:t>
      </w:r>
    </w:p>
    <w:p>
      <w:pPr>
        <w:pStyle w:val="ListParagraph"/>
        <w:numPr>
          <w:ilvl w:val="0"/>
          <w:numId w:val="4"/>
        </w:numPr>
        <w:spacing w:after="100" w:line="276"/>
      </w:pPr>
      <w:r>
        <w:t xml:space="preserve">If it looks right, publish it — in GitHub Desktop, write a sentence in the summary box (“Added biographies for Hadley and Goodale”), click Commit to main, then Push origin. A minute or two later the live site has it.</w:t>
      </w:r>
    </w:p>
    <w:p>
      <w:pPr>
        <w:pBdr>
          <w:left w:val="single" w:color="8A6A24" w:sz="18" w:space="8"/>
        </w:pBdr>
        <w:shd w:fill="F4EFE6" w:val="clear"/>
        <w:spacing w:after="200" w:before="120" w:line="276"/>
        <w:ind w:left="120" w:right="120"/>
      </w:pPr>
      <w:r>
        <w:rPr>
          <w:b/>
          <w:bCs/>
        </w:rPr>
        <w:t xml:space="preserve">The first time you run build.bat </w:t>
      </w:r>
      <w:r>
        <w:t xml:space="preserve">it will tell you if Python or Node.js is missing, with the address to download it from. Both are free, both install with all the defaults — the one thing that matters is ticking “Add python.exe to PATH” on the first screen of the Python installer. You only do this once.</w:t>
      </w:r>
    </w:p>
    <w:p>
      <w:pPr>
        <w:spacing w:after="160" w:line="276"/>
      </w:pPr>
      <w:r>
        <w:t xml:space="preserve">On a Mac, or if a volunteer prefers a terminal, the same thing is </w:t>
      </w:r>
      <w:r>
        <w:rPr>
          <w:rFonts w:ascii="Consolas" w:cs="Consolas" w:eastAsia="Consolas" w:hAnsi="Consolas"/>
          <w:sz w:val="19"/>
          <w:szCs w:val="19"/>
        </w:rPr>
        <w:t xml:space="preserve">bash build/build.sh</w:t>
      </w:r>
      <w:r>
        <w:t xml:space="preserve">.</w:t>
      </w:r>
    </w:p>
    <w:p>
      <w:pPr>
        <w:pBdr>
          <w:left w:val="single" w:color="8A6A24" w:sz="18" w:space="8"/>
        </w:pBdr>
        <w:shd w:fill="F4EFE6" w:val="clear"/>
        <w:spacing w:after="200" w:before="120" w:line="276"/>
        <w:ind w:left="120" w:right="120"/>
      </w:pPr>
      <w:r>
        <w:rPr>
          <w:b/>
          <w:bCs/>
        </w:rPr>
        <w:t xml:space="preserve">The spreadsheet is the master copy from now on. </w:t>
      </w:r>
      <w:r>
        <w:t xml:space="preserve">The build keeps the previous version of the underlying data as a .bak file each time, so a bad edit is recoverable. But the rule to remember is simply: edit the spreadsheet, never the .json files beside it.</w:t>
      </w:r>
    </w:p>
    <w:p>
      <w:pPr>
        <w:pStyle w:val="Heading2"/>
        <w:spacing w:after="120" w:before="300"/>
      </w:pPr>
      <w: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Message</w:t>
            </w:r>
          </w:p>
        </w:tc>
        <w:tc>
          <w:tcPr>
            <w:tcW w:type="dxa" w:w="69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it means</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unknown category … in row 7</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category column has a word that is not one of the six. Fix that row.</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Permission denied / cannot read</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spreadsheet is still open in Excel. Close it.</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founder page came out blank</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row lost its id, or the id was changed. Compare against the .bak file.</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Nothing changed at all</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build only reads the spreadsheet when it is newer than the data. If you are re-running after an interrupted build, open the spreadsheet, press Ctrl+S, and run it again.</w:t>
            </w:r>
          </w:p>
        </w:tc>
      </w:tr>
    </w:tbl>
    <w:p>
      <w:r>
        <w:br w:type="page"/>
      </w:r>
    </w:p>
    <w:p>
      <w:pPr>
        <w:pStyle w:val="Heading1"/>
        <w:spacing w:after="160" w:before="360"/>
      </w:pPr>
      <w:r>
        <w:t xml:space="preserve">6.  About running the OCR again</w:t>
      </w:r>
    </w:p>
    <w:p>
      <w:pPr>
        <w:spacing w:after="160" w:line="276"/>
      </w:pPr>
      <w:r>
        <w:t xml:space="preserve">You asked for the scans to be put through OCR again, because search results were coming back garbled. They were — but </w:t>
      </w:r>
      <w:r>
        <w:rPr>
          <w:b/>
          <w:bCs/>
        </w:rPr>
        <w:t xml:space="preserve">the OCR was not the cause</w:t>
      </w:r>
      <w:r>
        <w:t xml:space="preserve">, and re-running it would have cost days of computing and improved nothing. This is worth recording, because it will come up again.</w:t>
      </w:r>
    </w:p>
    <w:p>
      <w:pPr>
        <w:pStyle w:val="Heading2"/>
        <w:spacing w:after="120" w:before="300"/>
      </w:pPr>
      <w:r>
        <w:t xml:space="preserve">What was actually wrong</w:t>
      </w:r>
    </w:p>
    <w:p>
      <w:pPr>
        <w:spacing w:after="160" w:line="276"/>
      </w:pPr>
      <w:r>
        <w:t xml:space="preserve">The scans already carry a good text layer, made in 2020 on Kirtas equipment. The problem was in the step that </w:t>
      </w:r>
      <w:r>
        <w:rPr>
          <w:i/>
          <w:iCs/>
        </w:rPr>
        <w:t xml:space="preserve">reads</w:t>
      </w:r>
      <w:r>
        <w:t xml:space="preserve"> that layer out of the PDF. The tool has two modes. One preserves the visual layout — which, on a page printed in three columns, reads straight across all three, interleaving a chapter letter with a roster with an In Memoriam list into gibberish. The other follows the order the text was actually written in, which is right for columns but wrong for tables.</w:t>
      </w:r>
    </w:p>
    <w:p>
      <w:pPr>
        <w:spacing w:after="160" w:line="276"/>
      </w:pPr>
      <w:r>
        <w:t xml:space="preserve">Neither mode is right for every page, and this archive has both kinds. So the build now extracts </w:t>
      </w:r>
      <w:r>
        <w:rPr>
          <w:b/>
          <w:bCs/>
        </w:rPr>
        <w:t xml:space="preserve">every volume both ways</w:t>
      </w:r>
      <w:r>
        <w:t xml:space="preserve">, scores each result against a list of phrases that ought to appear in a Psi Upsilon publication — </w:t>
      </w:r>
      <w:r>
        <w:rPr>
          <w:i/>
          <w:iCs/>
        </w:rPr>
        <w:t xml:space="preserve">“chapter house”, “Executive Council”, “Phi Beta Kappa”, “the Diamond”</w:t>
      </w:r>
      <w:r>
        <w:t xml:space="preserve"> — and keeps whichever came out more readable. All 460 volumes have been re-read this way. That is the fix, and it cost nothing.</w:t>
      </w:r>
    </w:p>
    <w:p>
      <w:pPr>
        <w:pStyle w:val="Heading2"/>
        <w:spacing w:after="120" w:before="300"/>
      </w:pPr>
      <w:r>
        <w:t xml:space="preserve">What was measured</w:t>
      </w:r>
    </w:p>
    <w:p>
      <w:pPr>
        <w:pStyle w:val="ListParagraph"/>
        <w:numPr>
          <w:ilvl w:val="0"/>
          <w:numId w:val="2"/>
        </w:numPr>
        <w:spacing w:after="90" w:line="276"/>
      </w:pPr>
      <w:r>
        <w:t xml:space="preserve">Re-OCRing volumes that already had the 2020 text layer produced text no better, and sometimes slightly worse, than what was already there.</w:t>
      </w:r>
    </w:p>
    <w:p>
      <w:pPr>
        <w:pStyle w:val="ListParagraph"/>
        <w:numPr>
          <w:ilvl w:val="0"/>
          <w:numId w:val="2"/>
        </w:numPr>
        <w:spacing w:after="90" w:line="276"/>
      </w:pPr>
      <w:r>
        <w:t xml:space="preserve">The obvious command to use — </w:t>
      </w:r>
      <w:r>
        <w:rPr>
          <w:rFonts w:ascii="Consolas" w:cs="Consolas" w:eastAsia="Consolas" w:hAnsi="Consolas"/>
          <w:sz w:val="19"/>
          <w:szCs w:val="19"/>
        </w:rPr>
        <w:t xml:space="preserve">ocrmypdf --redo-ocr</w:t>
      </w:r>
      <w:r>
        <w:t xml:space="preserve"> — turned out to </w:t>
      </w:r>
      <w:r>
        <w:rPr>
          <w:b/>
          <w:bCs/>
        </w:rPr>
        <w:t xml:space="preserve">duplicate</w:t>
      </w:r>
      <w:r>
        <w:t xml:space="preserve"> the text layer: 19% of words came out doubled, which would have made search noticeably worse. The correct flag is </w:t>
      </w:r>
      <w:r>
        <w:rPr>
          <w:rFonts w:ascii="Consolas" w:cs="Consolas" w:eastAsia="Consolas" w:hAnsi="Consolas"/>
          <w:sz w:val="19"/>
          <w:szCs w:val="19"/>
        </w:rPr>
        <w:t xml:space="preserve">--force-ocr</w:t>
      </w:r>
      <w:r>
        <w:t xml:space="preserve">.</w:t>
      </w:r>
    </w:p>
    <w:p>
      <w:pPr>
        <w:pStyle w:val="ListParagraph"/>
        <w:numPr>
          <w:ilvl w:val="0"/>
          <w:numId w:val="2"/>
        </w:numPr>
        <w:spacing w:after="90" w:line="276"/>
      </w:pPr>
      <w:r>
        <w:t xml:space="preserve">Full re-OCR of the archive is roughly 18 GB of downloading and many hours of processing, for that non-improvement.</w:t>
      </w:r>
    </w:p>
    <w:p>
      <w:pPr>
        <w:pStyle w:val="Heading2"/>
        <w:spacing w:after="120" w:before="300"/>
      </w:pPr>
      <w:r>
        <w:t xml:space="preserve">Where OCR is still worth running</w:t>
      </w:r>
    </w:p>
    <w:p>
      <w:pPr>
        <w:spacing w:after="160" w:line="276"/>
      </w:pPr>
      <w:r>
        <w:t xml:space="preserve">On the handful of volumes with no usable text layer at all — which the script can find for you:</w:t>
      </w:r>
    </w:p>
    <w:p>
      <w:pPr>
        <w:shd w:fill="F2EEE7" w:val="clear"/>
        <w:spacing w:after="0" w:before="40"/>
        <w:ind w:left="240" w:right="240"/>
      </w:pPr>
      <w:r>
        <w:rPr>
          <w:rFonts w:ascii="Consolas" w:cs="Consolas" w:eastAsia="Consolas" w:hAnsi="Consolas"/>
          <w:sz w:val="18"/>
          <w:szCs w:val="18"/>
        </w:rPr>
        <w:t xml:space="preserve">python3 build/reocr.py --find-bad          # list the volumes worth doing</w:t>
      </w:r>
    </w:p>
    <w:p>
      <w:pPr>
        <w:shd w:fill="F2EEE7" w:val="clear"/>
        <w:spacing w:after="160" w:before="0"/>
        <w:ind w:left="240" w:right="240"/>
      </w:pPr>
      <w:r>
        <w:rPr>
          <w:rFonts w:ascii="Consolas" w:cs="Consolas" w:eastAsia="Consolas" w:hAnsi="Consolas"/>
          <w:sz w:val="18"/>
          <w:szCs w:val="18"/>
        </w:rPr>
        <w:t xml:space="preserve">python3 build/reocr.py --only &lt;id&gt;         # do one of them</w:t>
      </w:r>
    </w:p>
    <w:p>
      <w:pPr>
        <w:spacing w:after="160" w:line="276"/>
      </w:pPr>
      <w:r>
        <w:t xml:space="preserve">The script carries all of this in a comment at the top of it, including the measurements, so whoever picks it up in five years does not repeat the experiment.</w:t>
      </w:r>
    </w:p>
    <w:p>
      <w:pPr>
        <w:pStyle w:val="Heading1"/>
        <w:spacing w:after="160" w:before="360"/>
      </w:pPr>
      <w:r>
        <w:t xml:space="preserve">7.  What to do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60"/>
        <w:gridCol w:w="1700"/>
      </w:tblGrid>
      <w:tr>
        <w:trPr>
          <w:tblHeader/>
        </w:trPr>
        <w:tc>
          <w:tcPr>
            <w:tcW w:type="dxa" w:w="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t>
            </w:r>
          </w:p>
        </w:tc>
        <w:tc>
          <w:tcPr>
            <w:tcW w:type="dxa" w:w="70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Do this</w:t>
            </w:r>
          </w:p>
        </w:tc>
        <w:tc>
          <w:tcPr>
            <w:tcW w:type="dxa" w:w="17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Effort</w:t>
            </w:r>
          </w:p>
        </w:tc>
      </w:tr>
      <w:tr>
        <w:tc>
          <w:tcPr>
            <w:tcW w:type="dxa" w:w="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w:t>
            </w:r>
          </w:p>
        </w:tc>
        <w:tc>
          <w:tcPr>
            <w:tcW w:type="dxa" w:w="70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Write the seven biographies in data\founders.xlsx. Nothing else on the site gives as much back for as little.</w:t>
            </w:r>
          </w:p>
        </w:tc>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 evening</w:t>
            </w:r>
          </w:p>
        </w:tc>
      </w:tr>
      <w:tr>
        <w:tc>
          <w:tcPr>
            <w:tcW w:type="dxa" w:w="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w:t>
            </w:r>
          </w:p>
        </w:tc>
        <w:tc>
          <w:tcPr>
            <w:tcW w:type="dxa" w:w="70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Add the burial places and Find a Grave links.</w:t>
            </w:r>
          </w:p>
        </w:tc>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 hour</w:t>
            </w:r>
          </w:p>
        </w:tc>
      </w:tr>
      <w:tr>
        <w:tc>
          <w:tcPr>
            <w:tcW w:type="dxa" w:w="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w:t>
            </w:r>
          </w:p>
        </w:tc>
        <w:tc>
          <w:tcPr>
            <w:tcW w:type="dxa" w:w="70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Find seven portraits, or seven engravings, and drop them in.</w:t>
            </w:r>
          </w:p>
        </w:tc>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 hour, plus luck</w:t>
            </w:r>
          </w:p>
        </w:tc>
      </w:tr>
      <w:tr>
        <w:tc>
          <w:tcPr>
            <w:tcW w:type="dxa" w:w="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4</w:t>
            </w:r>
          </w:p>
        </w:tc>
        <w:tc>
          <w:tcPr>
            <w:tcW w:type="dxa" w:w="70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Add twenty more timeline events — the years you already know are missing. Aim for one per decade before you aim for completeness.</w:t>
            </w:r>
          </w:p>
        </w:tc>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 evening</w:t>
            </w:r>
          </w:p>
        </w:tc>
      </w:tr>
      <w:tr>
        <w:tc>
          <w:tcPr>
            <w:tcW w:type="dxa" w:w="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5</w:t>
            </w:r>
          </w:p>
        </w:tc>
        <w:tc>
          <w:tcPr>
            <w:tcW w:type="dxa" w:w="70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Re-upload the 2023 Gamma Tau presentation on psiu.org; its current link has never worked for anyone.</w:t>
            </w:r>
          </w:p>
        </w:tc>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Ten minutes</w:t>
            </w:r>
          </w:p>
        </w:tc>
      </w:tr>
      <w:tr>
        <w:tc>
          <w:tcPr>
            <w:tcW w:type="dxa" w:w="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6</w:t>
            </w:r>
          </w:p>
        </w:tc>
        <w:tc>
          <w:tcPr>
            <w:tcW w:type="dxa" w:w="70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Fix the six mis-linked Diamond years on the WordPress index.</w:t>
            </w:r>
          </w:p>
        </w:tc>
        <w:tc>
          <w:tcPr>
            <w:tcW w:type="dxa" w:w="17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Twenty minutes</w:t>
            </w:r>
          </w:p>
        </w:tc>
      </w:tr>
    </w:tbl>
    <w:p>
      <w:pPr>
        <w:spacing w:after="200"/>
      </w:pPr>
    </w:p>
    <w:p>
      <w:pPr>
        <w:spacing w:after="160" w:line="276"/>
      </w:pPr>
      <w:r>
        <w:t xml:space="preserve">The two earlier documents still stand: </w:t>
      </w:r>
      <w:r>
        <w:rPr>
          <w:i/>
          <w:iCs/>
        </w:rPr>
        <w:t xml:space="preserve">Psi Upsilon Digital Museum — Recommendations and Instructions</w:t>
      </w:r>
      <w:r>
        <w:t xml:space="preserve"> for everything the site can do and what to add next, and </w:t>
      </w:r>
      <w:r>
        <w:rPr>
          <w:i/>
          <w:iCs/>
        </w:rPr>
        <w:t xml:space="preserve">Publishing the Archive on GitHub</w:t>
      </w:r>
      <w:r>
        <w:t xml:space="preserve"> for getting it online. Wherever those say “Digital Archives”, read “Digital Museum”.</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A504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6"/>
      </w:pBdr>
      <w:jc w:val="right"/>
    </w:pPr>
    <w:r>
      <w:rPr>
        <w:rFonts w:ascii="Segoe UI" w:cs="Segoe UI" w:eastAsia="Segoe UI" w:hAnsi="Segoe UI"/>
        <w:color w:val="5A5048"/>
        <w:sz w:val="16"/>
        <w:szCs w:val="16"/>
      </w:rPr>
      <w:t xml:space="preserve">Filling in the Founders and the Timeline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6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7A1428"/>
      <w:sz w:val="32"/>
      <w:szCs w:val="32"/>
    </w:rPr>
  </w:style>
  <w:style w:type="paragraph" w:styleId="Heading2">
    <w:name w:val="Heading 2"/>
    <w:basedOn w:val="Normal"/>
    <w:next w:val="Normal"/>
    <w:qFormat/>
    <w:rPr>
      <w:rFonts w:ascii="Georgia" w:cs="Georgia" w:eastAsia="Georgia" w:hAnsi="Georgia"/>
      <w:b/>
      <w:bCs/>
      <w:color w:val="1B1614"/>
      <w:sz w:val="25"/>
      <w:szCs w:val="25"/>
    </w:rPr>
  </w:style>
  <w:style w:type="paragraph" w:styleId="Heading3">
    <w:name w:val="Heading 3"/>
    <w:basedOn w:val="Normal"/>
    <w:next w:val="Normal"/>
    <w:qFormat/>
    <w:rPr>
      <w:rFonts w:ascii="Georgia" w:cs="Georgia" w:eastAsia="Georgia" w:hAnsi="Georgia"/>
      <w:b/>
      <w:bCs/>
      <w:color w:val="7A142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pPr>
      <w:spacing w:after="80"/>
    </w:pPr>
    <w:rPr>
      <w:rFonts w:ascii="Segoe UI" w:cs="Segoe UI" w:eastAsia="Segoe UI" w:hAnsi="Segoe UI"/>
      <w:b/>
      <w:bCs/>
      <w:caps/>
      <w:color w:val="8A6A24"/>
      <w:sz w:val="16"/>
      <w:szCs w:val="16"/>
    </w:rPr>
  </w:style>
  <w:style w:type="paragraph" w:styleId="Lede">
    <w:name w:val="Lede"/>
    <w:basedOn w:val="Normal"/>
    <w:pPr>
      <w:spacing w:after="200" w:line="300"/>
    </w:pPr>
    <w:rPr>
      <w:rFonts w:ascii="Georgia" w:cs="Georgia" w:eastAsia="Georgia" w:hAnsi="Georgia"/>
      <w:color w:val="5A50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Filling in the Founders and the Timeline</dc:title>
  <dc:creator>Psi Upsilon International Office</dc:creator>
  <dc:description>How to write the founders’ biographies and add events to the timeline of the Psi Upsilon Digital Museum, using Excel.</dc:description>
  <cp:lastModifiedBy>Un-named</cp:lastModifiedBy>
  <cp:revision>1</cp:revision>
  <dcterms:created xsi:type="dcterms:W3CDTF">2026-08-24T01:25:04.545Z</dcterms:created>
  <dcterms:modified xsi:type="dcterms:W3CDTF">2026-08-24T01:25:04.545Z</dcterms:modified>
</cp:coreProperties>
</file>

<file path=docProps/custom.xml><?xml version="1.0" encoding="utf-8"?>
<Properties xmlns="http://schemas.openxmlformats.org/officeDocument/2006/custom-properties" xmlns:vt="http://schemas.openxmlformats.org/officeDocument/2006/docPropsVTypes"/>
</file>