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E88663"/>
          <w:spacing w:val="40"/>
          <w:sz w:val="22"/>
          <w:szCs w:val="22"/>
        </w:rPr>
        <w:t xml:space="preserve">INFORME TÉCNICO</w:t>
      </w:r>
    </w:p>
    <w:p>
      <w:pPr>
        <w:pBdr>
          <w:bottom w:val="single" w:color="0062A0" w:sz="18" w:space="8"/>
        </w:pBdr>
        <w:spacing w:after="0" w:before="80"/>
      </w:pPr>
      <w:r>
        <w:rPr>
          <w:rFonts w:ascii="Arial" w:cs="Arial" w:eastAsia="Arial" w:hAnsi="Arial"/>
          <w:b/>
          <w:bCs/>
          <w:color w:val="0062A0"/>
          <w:sz w:val="44"/>
          <w:szCs w:val="44"/>
        </w:rPr>
        <w:t xml:space="preserve">Escaneo de insumos de matrícula nacional</w:t>
      </w:r>
    </w:p>
    <w:p>
      <w:pPr>
        <w:spacing w:after="0" w:before="200"/>
      </w:pPr>
      <w:r>
        <w:rPr>
          <w:rFonts w:ascii="Arial" w:cs="Arial" w:eastAsia="Arial" w:hAnsi="Arial"/>
          <w:color w:val="1A1A1A"/>
          <w:sz w:val="24"/>
          <w:szCs w:val="24"/>
        </w:rPr>
        <w:t xml:space="preserve">Base documental para el proyecto </w:t>
      </w:r>
      <w:r>
        <w:rPr>
          <w:rFonts w:ascii="Consolas" w:cs="Consolas" w:eastAsia="Consolas" w:hAnsi="Consolas"/>
          <w:b/>
          <w:bCs/>
          <w:color w:val="4A2746"/>
          <w:sz w:val="22"/>
          <w:szCs w:val="22"/>
        </w:rPr>
        <w:t xml:space="preserve">slep_categoria_desempeno</w:t>
      </w:r>
    </w:p>
    <w:p>
      <w:pPr>
        <w:spacing w:after="0" w:before="600"/>
      </w:pPr>
      <w:r>
        <w:rPr>
          <w:rFonts w:ascii="Arial" w:cs="Arial" w:eastAsia="Arial" w:hAnsi="Arial"/>
          <w:b/>
          <w:bCs/>
          <w:sz w:val="21"/>
          <w:szCs w:val="21"/>
        </w:rPr>
        <w:t xml:space="preserve">Serie analizada:  </w:t>
      </w:r>
      <w:r>
        <w:rPr>
          <w:rFonts w:ascii="Arial" w:cs="Arial" w:eastAsia="Arial" w:hAnsi="Arial"/>
          <w:sz w:val="21"/>
          <w:szCs w:val="21"/>
        </w:rPr>
        <w:t xml:space="preserve">Registro de Matrícula Única Oficial 2016–2025 (MINEDUC · Centro de Estudios)</w:t>
      </w:r>
    </w:p>
    <w:p>
      <w:pPr>
        <w:spacing w:after="0" w:before="100"/>
      </w:pPr>
      <w:r>
        <w:rPr>
          <w:rFonts w:ascii="Arial" w:cs="Arial" w:eastAsia="Arial" w:hAnsi="Arial"/>
          <w:b/>
          <w:bCs/>
          <w:sz w:val="21"/>
          <w:szCs w:val="21"/>
        </w:rPr>
        <w:t xml:space="preserve">Fuente:  </w:t>
      </w:r>
      <w:r>
        <w:rPr>
          <w:rFonts w:ascii="Arial" w:cs="Arial" w:eastAsia="Arial" w:hAnsi="Arial"/>
          <w:sz w:val="21"/>
          <w:szCs w:val="21"/>
        </w:rPr>
        <w:t xml:space="preserve">Sistema de Información General de Estudiantes (SIGE)</w:t>
      </w:r>
    </w:p>
    <w:p>
      <w:pPr>
        <w:spacing w:after="0" w:before="100"/>
      </w:pPr>
      <w:r>
        <w:rPr>
          <w:rFonts w:ascii="Arial" w:cs="Arial" w:eastAsia="Arial" w:hAnsi="Arial"/>
          <w:b/>
          <w:bCs/>
          <w:sz w:val="21"/>
          <w:szCs w:val="21"/>
        </w:rPr>
        <w:t xml:space="preserve">Unidad:  </w:t>
      </w:r>
      <w:r>
        <w:rPr>
          <w:rFonts w:ascii="Arial" w:cs="Arial" w:eastAsia="Arial" w:hAnsi="Arial"/>
          <w:sz w:val="21"/>
          <w:szCs w:val="21"/>
        </w:rPr>
        <w:t xml:space="preserve">Área de Monitoreo y Seguimiento de Procesos y Resultados Educativos — SLEP Costa Central</w:t>
      </w:r>
    </w:p>
    <w:p>
      <w:pPr>
        <w:spacing w:after="0" w:before="100"/>
      </w:pPr>
      <w:r>
        <w:rPr>
          <w:rFonts w:ascii="Arial" w:cs="Arial" w:eastAsia="Arial" w:hAnsi="Arial"/>
          <w:b/>
          <w:bCs/>
          <w:sz w:val="21"/>
          <w:szCs w:val="21"/>
        </w:rPr>
        <w:t xml:space="preserve">Fecha:  </w:t>
      </w:r>
      <w:r>
        <w:rPr>
          <w:rFonts w:ascii="Arial" w:cs="Arial" w:eastAsia="Arial" w:hAnsi="Arial"/>
          <w:sz w:val="21"/>
          <w:szCs w:val="21"/>
        </w:rPr>
        <w:t xml:space="preserve">13 de junio de 2026</w:t>
      </w:r>
    </w:p>
    <w:p>
      <w:pPr>
        <w:spacing w:after="0" w:before="100"/>
      </w:pPr>
      <w:r>
        <w:rPr>
          <w:rFonts w:ascii="Arial" w:cs="Arial" w:eastAsia="Arial" w:hAnsi="Arial"/>
          <w:b/>
          <w:bCs/>
          <w:sz w:val="21"/>
          <w:szCs w:val="21"/>
        </w:rPr>
        <w:t xml:space="preserve">Tipo de sesión:  </w:t>
      </w:r>
      <w:r>
        <w:rPr>
          <w:rFonts w:ascii="Arial" w:cs="Arial" w:eastAsia="Arial" w:hAnsi="Arial"/>
          <w:sz w:val="21"/>
          <w:szCs w:val="21"/>
        </w:rPr>
        <w:t xml:space="preserve">ONE-OFF (tarea aislada de análisis exploratorio)</w:t>
      </w:r>
    </w:p>
    <w:p>
      <w:pPr>
        <w:spacing w:after="0" w:before="900"/>
      </w:pPr>
      <w:r>
        <w:br w:type="page"/>
      </w:r>
    </w:p>
    <w:p>
      <w:pPr>
        <w:spacing w:after="160"/>
      </w:pPr>
      <w:r>
        <w:rPr>
          <w:rFonts w:ascii="Arial" w:cs="Arial" w:eastAsia="Arial" w:hAnsi="Arial"/>
          <w:b/>
          <w:bCs/>
          <w:color w:val="0062A0"/>
          <w:sz w:val="28"/>
          <w:szCs w:val="28"/>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line="276"/>
      </w:pPr>
      <w:r>
        <w:rPr>
          <w:rFonts w:ascii="Arial" w:cs="Arial" w:eastAsia="Arial" w:hAnsi="Arial"/>
          <w:sz w:val="21"/>
          <w:szCs w:val="21"/>
        </w:rPr>
        <w:t xml:space="preserve">Este informe documenta el escaneo exploratorio de los insumos públicos de matrícula nacional del MINEDUC para la serie </w:t>
      </w:r>
      <w:r>
        <w:rPr>
          <w:rFonts w:ascii="Arial" w:cs="Arial" w:eastAsia="Arial" w:hAnsi="Arial"/>
          <w:b/>
          <w:bCs/>
          <w:sz w:val="21"/>
          <w:szCs w:val="21"/>
        </w:rPr>
        <w:t xml:space="preserve">2016–2025</w:t>
      </w:r>
      <w:r>
        <w:rPr>
          <w:rFonts w:ascii="Arial" w:cs="Arial" w:eastAsia="Arial" w:hAnsi="Arial"/>
          <w:sz w:val="21"/>
          <w:szCs w:val="21"/>
        </w:rPr>
        <w:t xml:space="preserve">, realizado para fundamentar dos decisiones del proyecto </w:t>
      </w:r>
      <w:r>
        <w:rPr>
          <w:rFonts w:ascii="Consolas" w:cs="Consolas" w:eastAsia="Consolas" w:hAnsi="Consolas"/>
          <w:color w:val="4A2746"/>
          <w:sz w:val="19"/>
          <w:szCs w:val="19"/>
        </w:rPr>
        <w:t xml:space="preserve">slep_categoria_desempeno</w:t>
      </w:r>
      <w:r>
        <w:rPr>
          <w:rFonts w:ascii="Arial" w:cs="Arial" w:eastAsia="Arial" w:hAnsi="Arial"/>
          <w:sz w:val="21"/>
          <w:szCs w:val="21"/>
        </w:rPr>
        <w:t xml:space="preserve">: (a) la viabilidad de separar enseñanza básica y media en toda la serie y (b) la granularidad con que se mostrará la matrícula en la ficha del establecimiento.</w:t>
      </w:r>
    </w:p>
    <w:p>
      <w:pPr>
        <w:spacing w:after="120" w:line="276"/>
      </w:pPr>
      <w:r>
        <w:rPr>
          <w:rFonts w:ascii="Arial" w:cs="Arial" w:eastAsia="Arial" w:hAnsi="Arial"/>
          <w:sz w:val="21"/>
          <w:szCs w:val="21"/>
        </w:rPr>
        <w:t xml:space="preserve">El escaneo se ejecutó en Positron con un perfilado perezoso sobre disco (DuckDB), sin materializar las tablas en memoria. Se procesaron </w:t>
      </w:r>
      <w:r>
        <w:rPr>
          <w:rFonts w:ascii="Arial" w:cs="Arial" w:eastAsia="Arial" w:hAnsi="Arial"/>
          <w:b/>
          <w:bCs/>
          <w:sz w:val="21"/>
          <w:szCs w:val="21"/>
        </w:rPr>
        <w:t xml:space="preserve">10 archivos CSV</w:t>
      </w:r>
      <w:r>
        <w:rPr>
          <w:rFonts w:ascii="Arial" w:cs="Arial" w:eastAsia="Arial" w:hAnsi="Arial"/>
          <w:sz w:val="21"/>
          <w:szCs w:val="21"/>
        </w:rPr>
        <w:t xml:space="preserve"> (~5,4 GB en total, ~550 MB cada uno) y se perfilaron esquema, tipos, cardinalidad de </w:t>
      </w:r>
      <w:r>
        <w:rPr>
          <w:rFonts w:ascii="Consolas" w:cs="Consolas" w:eastAsia="Consolas" w:hAnsi="Consolas"/>
          <w:color w:val="4A2746"/>
          <w:sz w:val="19"/>
          <w:szCs w:val="19"/>
        </w:rPr>
        <w:t xml:space="preserve">RBD</w:t>
      </w:r>
      <w:r>
        <w:rPr>
          <w:rFonts w:ascii="Arial" w:cs="Arial" w:eastAsia="Arial" w:hAnsi="Arial"/>
          <w:sz w:val="21"/>
          <w:szCs w:val="21"/>
        </w:rPr>
        <w:t xml:space="preserve"> y cobertura por nivel.</w:t>
      </w:r>
    </w:p>
    <w:p>
      <w:pPr>
        <w:pStyle w:val="Heading3"/>
      </w:pPr>
      <w:r>
        <w:t xml:space="preserve">Conclusiones principales</w:t>
      </w:r>
    </w:p>
    <w:p>
      <w:pPr>
        <w:pStyle w:val="ListParagraph"/>
        <w:numPr>
          <w:ilvl w:val="0"/>
          <w:numId w:val="2"/>
        </w:numPr>
        <w:spacing w:after="60"/>
      </w:pPr>
      <w:r>
        <w:rPr>
          <w:rFonts w:ascii="Arial" w:cs="Arial" w:eastAsia="Arial" w:hAnsi="Arial"/>
          <w:b/>
          <w:bCs/>
          <w:sz w:val="21"/>
          <w:szCs w:val="21"/>
        </w:rPr>
        <w:t xml:space="preserve">Esquema estable en toda la serie. </w:t>
      </w:r>
      <w:r>
        <w:rPr>
          <w:rFonts w:ascii="Arial" w:cs="Arial" w:eastAsia="Arial" w:hAnsi="Arial"/>
          <w:sz w:val="21"/>
          <w:szCs w:val="21"/>
        </w:rPr>
        <w:t xml:space="preserve">Las variables necesarias para el corte básica/media (</w:t>
      </w:r>
      <w:r>
        <w:rPr>
          <w:rFonts w:ascii="Consolas" w:cs="Consolas" w:eastAsia="Consolas" w:hAnsi="Consolas"/>
          <w:color w:val="4A2746"/>
          <w:sz w:val="19"/>
          <w:szCs w:val="19"/>
        </w:rPr>
        <w:t xml:space="preserve">RBD</w:t>
      </w:r>
      <w:r>
        <w:rPr>
          <w:rFonts w:ascii="Arial" w:cs="Arial" w:eastAsia="Arial" w:hAnsi="Arial"/>
          <w:sz w:val="21"/>
          <w:szCs w:val="21"/>
        </w:rPr>
        <w:t xml:space="preserve">, </w:t>
      </w:r>
      <w:r>
        <w:rPr>
          <w:rFonts w:ascii="Consolas" w:cs="Consolas" w:eastAsia="Consolas" w:hAnsi="Consolas"/>
          <w:color w:val="4A2746"/>
          <w:sz w:val="19"/>
          <w:szCs w:val="19"/>
        </w:rPr>
        <w:t xml:space="preserve">COD_ENSE</w:t>
      </w:r>
      <w:r>
        <w:rPr>
          <w:rFonts w:ascii="Arial" w:cs="Arial" w:eastAsia="Arial" w:hAnsi="Arial"/>
          <w:sz w:val="21"/>
          <w:szCs w:val="21"/>
        </w:rPr>
        <w:t xml:space="preserve">, </w:t>
      </w:r>
      <w:r>
        <w:rPr>
          <w:rFonts w:ascii="Consolas" w:cs="Consolas" w:eastAsia="Consolas" w:hAnsi="Consolas"/>
          <w:color w:val="4A2746"/>
          <w:sz w:val="19"/>
          <w:szCs w:val="19"/>
        </w:rPr>
        <w:t xml:space="preserve">COD_ENSE2</w:t>
      </w:r>
      <w:r>
        <w:rPr>
          <w:rFonts w:ascii="Arial" w:cs="Arial" w:eastAsia="Arial" w:hAnsi="Arial"/>
          <w:sz w:val="21"/>
          <w:szCs w:val="21"/>
        </w:rPr>
        <w:t xml:space="preserve">, </w:t>
      </w:r>
      <w:r>
        <w:rPr>
          <w:rFonts w:ascii="Consolas" w:cs="Consolas" w:eastAsia="Consolas" w:hAnsi="Consolas"/>
          <w:color w:val="4A2746"/>
          <w:sz w:val="19"/>
          <w:szCs w:val="19"/>
        </w:rPr>
        <w:t xml:space="preserve">COD_GRADO</w:t>
      </w:r>
      <w:r>
        <w:rPr>
          <w:rFonts w:ascii="Arial" w:cs="Arial" w:eastAsia="Arial" w:hAnsi="Arial"/>
          <w:sz w:val="21"/>
          <w:szCs w:val="21"/>
        </w:rPr>
        <w:t xml:space="preserve">) están presentes en los 10 años.</w:t>
      </w:r>
    </w:p>
    <w:p>
      <w:pPr>
        <w:pStyle w:val="ListParagraph"/>
        <w:numPr>
          <w:ilvl w:val="0"/>
          <w:numId w:val="2"/>
        </w:numPr>
        <w:spacing w:after="60"/>
      </w:pPr>
      <w:r>
        <w:rPr>
          <w:rFonts w:ascii="Arial" w:cs="Arial" w:eastAsia="Arial" w:hAnsi="Arial"/>
          <w:b/>
          <w:bCs/>
          <w:sz w:val="21"/>
          <w:szCs w:val="21"/>
        </w:rPr>
        <w:t xml:space="preserve">El corte básica/media es sólido. </w:t>
      </w:r>
      <w:r>
        <w:rPr>
          <w:rFonts w:ascii="Arial" w:cs="Arial" w:eastAsia="Arial" w:hAnsi="Arial"/>
          <w:sz w:val="21"/>
          <w:szCs w:val="21"/>
        </w:rPr>
        <w:t xml:space="preserve">Se resuelve con </w:t>
      </w:r>
      <w:r>
        <w:rPr>
          <w:rFonts w:ascii="Consolas" w:cs="Consolas" w:eastAsia="Consolas" w:hAnsi="Consolas"/>
          <w:color w:val="4A2746"/>
          <w:sz w:val="19"/>
          <w:szCs w:val="19"/>
        </w:rPr>
        <w:t xml:space="preserve">COD_ENSE2</w:t>
      </w:r>
      <w:r>
        <w:rPr>
          <w:rFonts w:ascii="Arial" w:cs="Arial" w:eastAsia="Arial" w:hAnsi="Arial"/>
          <w:sz w:val="21"/>
          <w:szCs w:val="21"/>
        </w:rPr>
        <w:t xml:space="preserve"> (2 = básica; 5 y 7 = media jóvenes), sin ambigüedad documentada ni empírica.</w:t>
      </w:r>
    </w:p>
    <w:p>
      <w:pPr>
        <w:pStyle w:val="ListParagraph"/>
        <w:numPr>
          <w:ilvl w:val="0"/>
          <w:numId w:val="2"/>
        </w:numPr>
        <w:spacing w:after="60"/>
      </w:pPr>
      <w:r>
        <w:rPr>
          <w:rFonts w:ascii="Arial" w:cs="Arial" w:eastAsia="Arial" w:hAnsi="Arial"/>
          <w:b/>
          <w:bCs/>
          <w:sz w:val="21"/>
          <w:szCs w:val="21"/>
        </w:rPr>
        <w:t xml:space="preserve">Dato decisivo para la ficha: </w:t>
      </w:r>
      <w:r>
        <w:rPr>
          <w:rFonts w:ascii="Arial" w:cs="Arial" w:eastAsia="Arial" w:hAnsi="Arial"/>
          <w:sz w:val="21"/>
          <w:szCs w:val="21"/>
        </w:rPr>
        <w:t xml:space="preserve">en 2025, </w:t>
      </w:r>
      <w:r>
        <w:rPr>
          <w:rFonts w:ascii="Arial" w:cs="Arial" w:eastAsia="Arial" w:hAnsi="Arial"/>
          <w:b/>
          <w:bCs/>
          <w:color w:val="E88663"/>
          <w:sz w:val="21"/>
          <w:szCs w:val="21"/>
        </w:rPr>
        <w:t xml:space="preserve">2.547 de 10.949 establecimientos (23,3%) </w:t>
      </w:r>
      <w:r>
        <w:rPr>
          <w:rFonts w:ascii="Arial" w:cs="Arial" w:eastAsia="Arial" w:hAnsi="Arial"/>
          <w:sz w:val="21"/>
          <w:szCs w:val="21"/>
        </w:rPr>
        <w:t xml:space="preserve">imparten básica y media simultáneamente, y la proporción crece de forma sostenida desde 2016 (20,0%).</w:t>
      </w:r>
    </w:p>
    <w:p>
      <w:pPr>
        <w:pStyle w:val="ListParagraph"/>
        <w:numPr>
          <w:ilvl w:val="0"/>
          <w:numId w:val="2"/>
        </w:numPr>
        <w:spacing w:after="60"/>
      </w:pPr>
      <w:r>
        <w:rPr>
          <w:rFonts w:ascii="Arial" w:cs="Arial" w:eastAsia="Arial" w:hAnsi="Arial"/>
          <w:b/>
          <w:bCs/>
          <w:sz w:val="21"/>
          <w:szCs w:val="21"/>
        </w:rPr>
        <w:t xml:space="preserve">Recomendación de granularidad: </w:t>
      </w:r>
      <w:r>
        <w:rPr>
          <w:rFonts w:ascii="Arial" w:cs="Arial" w:eastAsia="Arial" w:hAnsi="Arial"/>
          <w:sz w:val="21"/>
          <w:szCs w:val="21"/>
        </w:rPr>
        <w:t xml:space="preserve">matrícula del nivel de la categoría con el total del EE entre paréntesis (opción 3), con supresión condicional del paréntesis cuando el EE es de nivel único. La descartada opción de “solo total” mezclaría niveles en una cifra para 1 de cada 4 EE, violando el invariante del proyecto.</w:t>
      </w:r>
    </w:p>
    <w:p>
      <w:pPr>
        <w:pStyle w:val="ListParagraph"/>
        <w:numPr>
          <w:ilvl w:val="0"/>
          <w:numId w:val="2"/>
        </w:numPr>
        <w:spacing w:after="60"/>
      </w:pPr>
      <w:r>
        <w:rPr>
          <w:rFonts w:ascii="Arial" w:cs="Arial" w:eastAsia="Arial" w:hAnsi="Arial"/>
          <w:b/>
          <w:bCs/>
          <w:sz w:val="21"/>
          <w:szCs w:val="21"/>
        </w:rPr>
        <w:t xml:space="preserve">Restricciones temporales a considerar: </w:t>
      </w:r>
      <w:r>
        <w:rPr>
          <w:rFonts w:ascii="Consolas" w:cs="Consolas" w:eastAsia="Consolas" w:hAnsi="Consolas"/>
          <w:color w:val="4A2746"/>
          <w:sz w:val="19"/>
          <w:szCs w:val="19"/>
        </w:rPr>
        <w:t xml:space="preserve">ESTADO_ESTAB</w:t>
      </w:r>
      <w:r>
        <w:rPr>
          <w:rFonts w:ascii="Arial" w:cs="Arial" w:eastAsia="Arial" w:hAnsi="Arial"/>
          <w:sz w:val="21"/>
          <w:szCs w:val="21"/>
        </w:rPr>
        <w:t xml:space="preserve"> no es confiable en 2016–2017 y </w:t>
      </w:r>
      <w:r>
        <w:rPr>
          <w:rFonts w:ascii="Consolas" w:cs="Consolas" w:eastAsia="Consolas" w:hAnsi="Consolas"/>
          <w:color w:val="4A2746"/>
          <w:sz w:val="19"/>
          <w:szCs w:val="19"/>
        </w:rPr>
        <w:t xml:space="preserve">NOMBRE_SLEP</w:t>
      </w:r>
      <w:r>
        <w:rPr>
          <w:rFonts w:ascii="Arial" w:cs="Arial" w:eastAsia="Arial" w:hAnsi="Arial"/>
          <w:sz w:val="21"/>
          <w:szCs w:val="21"/>
        </w:rPr>
        <w:t xml:space="preserve"> solo existe desde 2024; el universo SLEP histórico debe derivarse por </w:t>
      </w:r>
      <w:r>
        <w:rPr>
          <w:rFonts w:ascii="Consolas" w:cs="Consolas" w:eastAsia="Consolas" w:hAnsi="Consolas"/>
          <w:color w:val="4A2746"/>
          <w:sz w:val="19"/>
          <w:szCs w:val="19"/>
        </w:rPr>
        <w:t xml:space="preserve">COD_COM_RBD</w:t>
      </w:r>
      <w:r>
        <w:rPr>
          <w:rFonts w:ascii="Arial" w:cs="Arial" w:eastAsia="Arial" w:hAnsi="Arial"/>
          <w:sz w:val="21"/>
          <w:szCs w:val="21"/>
        </w:rPr>
        <w:t xml:space="preserve">.</w:t>
      </w:r>
    </w:p>
    <w:p>
      <w:pPr>
        <w:pStyle w:val="Heading1"/>
      </w:pPr>
      <w:r>
        <w:t xml:space="preserve">2. Alcance y método</w:t>
      </w:r>
    </w:p>
    <w:p>
      <w:pPr>
        <w:pStyle w:val="Heading2"/>
      </w:pPr>
      <w:r>
        <w:t xml:space="preserve">2.1 Objetivo</w:t>
      </w:r>
    </w:p>
    <w:p>
      <w:pPr>
        <w:spacing w:after="120" w:line="276"/>
      </w:pPr>
      <w:r>
        <w:rPr>
          <w:rFonts w:ascii="Arial" w:cs="Arial" w:eastAsia="Arial" w:hAnsi="Arial"/>
          <w:sz w:val="21"/>
          <w:szCs w:val="21"/>
        </w:rPr>
        <w:t xml:space="preserve">Determinar, contra los datos reales (no solo contra las glosas), qué granularidad de matrícula es posible y recomendable en la ficha del establecimiento del motor de Categoría de Desempeño, respetando el invariante del proyecto: </w:t>
      </w:r>
      <w:r>
        <w:rPr>
          <w:rFonts w:ascii="Arial" w:cs="Arial" w:eastAsia="Arial" w:hAnsi="Arial"/>
          <w:b/>
          <w:bCs/>
          <w:sz w:val="21"/>
          <w:szCs w:val="21"/>
        </w:rPr>
        <w:t xml:space="preserve">básica y media nunca se mezclan en una cifra agregada.</w:t>
      </w:r>
    </w:p>
    <w:p>
      <w:pPr>
        <w:pStyle w:val="Heading2"/>
      </w:pPr>
      <w:r>
        <w:t xml:space="preserve">2.2 Insumos</w:t>
      </w:r>
    </w:p>
    <w:p>
      <w:pPr>
        <w:spacing w:after="120" w:line="276"/>
      </w:pPr>
      <w:r>
        <w:rPr>
          <w:rFonts w:ascii="Arial" w:cs="Arial" w:eastAsia="Arial" w:hAnsi="Arial"/>
          <w:sz w:val="21"/>
          <w:szCs w:val="21"/>
        </w:rPr>
        <w:t xml:space="preserve">Directorio: </w:t>
      </w:r>
      <w:r>
        <w:rPr>
          <w:rFonts w:ascii="Consolas" w:cs="Consolas" w:eastAsia="Consolas" w:hAnsi="Consolas"/>
          <w:color w:val="4A2746"/>
          <w:sz w:val="19"/>
          <w:szCs w:val="19"/>
        </w:rPr>
        <w:t xml:space="preserve">20_insumos/publicos/</w:t>
      </w:r>
      <w:r>
        <w:rPr>
          <w:rFonts w:ascii="Arial" w:cs="Arial" w:eastAsia="Arial" w:hAnsi="Arial"/>
          <w:sz w:val="21"/>
          <w:szCs w:val="21"/>
        </w:rPr>
        <w:t xml:space="preserve"> dentro de </w:t>
      </w:r>
      <w:r>
        <w:rPr>
          <w:rFonts w:ascii="Consolas" w:cs="Consolas" w:eastAsia="Consolas" w:hAnsi="Consolas"/>
          <w:color w:val="4A2746"/>
          <w:sz w:val="19"/>
          <w:szCs w:val="19"/>
        </w:rPr>
        <w:t xml:space="preserve">slep_analisis_matricula</w:t>
      </w:r>
      <w:r>
        <w:rPr>
          <w:rFonts w:ascii="Arial" w:cs="Arial" w:eastAsia="Arial" w:hAnsi="Arial"/>
          <w:sz w:val="21"/>
          <w:szCs w:val="21"/>
        </w:rPr>
        <w:t xml:space="preserve">. Patrón de nombres: </w:t>
      </w:r>
      <w:r>
        <w:rPr>
          <w:rFonts w:ascii="Consolas" w:cs="Consolas" w:eastAsia="Consolas" w:hAnsi="Consolas"/>
          <w:color w:val="4A2746"/>
          <w:sz w:val="19"/>
          <w:szCs w:val="19"/>
        </w:rPr>
        <w:t xml:space="preserve">matricula_cem_AAAA.csv</w:t>
      </w:r>
      <w:r>
        <w:rPr>
          <w:rFonts w:ascii="Arial" w:cs="Arial" w:eastAsia="Arial" w:hAnsi="Arial"/>
          <w:sz w:val="21"/>
          <w:szCs w:val="21"/>
        </w:rPr>
        <w:t xml:space="preserve"> (extensión </w:t>
      </w:r>
      <w:r>
        <w:rPr>
          <w:rFonts w:ascii="Consolas" w:cs="Consolas" w:eastAsia="Consolas" w:hAnsi="Consolas"/>
          <w:color w:val="4A2746"/>
          <w:sz w:val="19"/>
          <w:szCs w:val="19"/>
        </w:rPr>
        <w:t xml:space="preserve">.csv</w:t>
      </w:r>
      <w:r>
        <w:rPr>
          <w:rFonts w:ascii="Arial" w:cs="Arial" w:eastAsia="Arial" w:hAnsi="Arial"/>
          <w:sz w:val="21"/>
          <w:szCs w:val="21"/>
        </w:rPr>
        <w:t xml:space="preserve">/</w:t>
      </w:r>
      <w:r>
        <w:rPr>
          <w:rFonts w:ascii="Consolas" w:cs="Consolas" w:eastAsia="Consolas" w:hAnsi="Consolas"/>
          <w:color w:val="4A2746"/>
          <w:sz w:val="19"/>
          <w:szCs w:val="19"/>
        </w:rPr>
        <w:t xml:space="preserve">.CSV</w:t>
      </w:r>
      <w:r>
        <w:rPr>
          <w:rFonts w:ascii="Arial" w:cs="Arial" w:eastAsia="Arial" w:hAnsi="Arial"/>
          <w:sz w:val="21"/>
          <w:szCs w:val="21"/>
        </w:rPr>
        <w:t xml:space="preserve"> mixta, tratada con coincidencia insensible a mayúsculas). Serie continua 2016–2025, sin huecos.</w:t>
      </w:r>
    </w:p>
    <w:p>
      <w:pPr>
        <w:spacing w:after="120" w:line="276"/>
      </w:pPr>
      <w:r>
        <w:rPr>
          <w:rFonts w:ascii="Arial" w:cs="Arial" w:eastAsia="Arial" w:hAnsi="Arial"/>
          <w:sz w:val="21"/>
          <w:szCs w:val="21"/>
        </w:rPr>
        <w:t xml:space="preserve">Acompañan a cada año un PDF de glosas (</w:t>
      </w:r>
      <w:r>
        <w:rPr>
          <w:rFonts w:ascii="Consolas" w:cs="Consolas" w:eastAsia="Consolas" w:hAnsi="Consolas"/>
          <w:color w:val="4A2746"/>
          <w:sz w:val="19"/>
          <w:szCs w:val="19"/>
        </w:rPr>
        <w:t xml:space="preserve">glosas_matricula_AAAA.pdf</w:t>
      </w:r>
      <w:r>
        <w:rPr>
          <w:rFonts w:ascii="Arial" w:cs="Arial" w:eastAsia="Arial" w:hAnsi="Arial"/>
          <w:sz w:val="21"/>
          <w:szCs w:val="21"/>
        </w:rPr>
        <w:t xml:space="preserve">) y un Excel de frecuencias (</w:t>
      </w:r>
      <w:r>
        <w:rPr>
          <w:rFonts w:ascii="Consolas" w:cs="Consolas" w:eastAsia="Consolas" w:hAnsi="Consolas"/>
          <w:color w:val="4A2746"/>
          <w:sz w:val="19"/>
          <w:szCs w:val="19"/>
        </w:rPr>
        <w:t xml:space="preserve">frecuencias_matricula_AAAA.xlsx</w:t>
      </w:r>
      <w:r>
        <w:rPr>
          <w:rFonts w:ascii="Arial" w:cs="Arial" w:eastAsia="Arial" w:hAnsi="Arial"/>
          <w:sz w:val="21"/>
          <w:szCs w:val="21"/>
        </w:rPr>
        <w:t xml:space="preserve">), no utilizados en este escaneo.</w:t>
      </w:r>
    </w:p>
    <w:p>
      <w:pPr>
        <w:pStyle w:val="Heading2"/>
      </w:pPr>
      <w:r>
        <w:t xml:space="preserve">2.3 Procedimiento</w:t>
      </w:r>
    </w:p>
    <w:p>
      <w:pPr>
        <w:spacing w:after="120" w:line="276"/>
      </w:pPr>
      <w:r>
        <w:rPr>
          <w:rFonts w:ascii="Arial" w:cs="Arial" w:eastAsia="Arial" w:hAnsi="Arial"/>
          <w:sz w:val="21"/>
          <w:szCs w:val="21"/>
        </w:rPr>
        <w:t xml:space="preserve">Dos scripts de R, ejecutados en Positron:</w:t>
      </w:r>
    </w:p>
    <w:p>
      <w:pPr>
        <w:pStyle w:val="ListParagraph"/>
        <w:numPr>
          <w:ilvl w:val="0"/>
          <w:numId w:val="3"/>
        </w:numPr>
        <w:spacing w:after="60"/>
      </w:pPr>
      <w:r>
        <w:rPr>
          <w:rFonts w:ascii="Consolas" w:cs="Consolas" w:eastAsia="Consolas" w:hAnsi="Consolas"/>
          <w:color w:val="4A2746"/>
          <w:sz w:val="19"/>
          <w:szCs w:val="19"/>
        </w:rPr>
        <w:t xml:space="preserve">01_escanear_insumos.R</w:t>
      </w:r>
      <w:r>
        <w:rPr>
          <w:rFonts w:ascii="Arial" w:cs="Arial" w:eastAsia="Arial" w:hAnsi="Arial"/>
          <w:sz w:val="21"/>
          <w:szCs w:val="21"/>
        </w:rPr>
        <w:t xml:space="preserve"> — inventario del directorio sin abrir archivos (peso, extensión, año, continuidad de la serie).</w:t>
      </w:r>
    </w:p>
    <w:p>
      <w:pPr>
        <w:pStyle w:val="ListParagraph"/>
        <w:numPr>
          <w:ilvl w:val="0"/>
          <w:numId w:val="3"/>
        </w:numPr>
        <w:spacing w:after="60"/>
      </w:pPr>
      <w:r>
        <w:rPr>
          <w:rFonts w:ascii="Consolas" w:cs="Consolas" w:eastAsia="Consolas" w:hAnsi="Consolas"/>
          <w:color w:val="4A2746"/>
          <w:sz w:val="19"/>
          <w:szCs w:val="19"/>
        </w:rPr>
        <w:t xml:space="preserve">02_escanear_csv_matricula.R</w:t>
      </w:r>
      <w:r>
        <w:rPr>
          <w:rFonts w:ascii="Arial" w:cs="Arial" w:eastAsia="Arial" w:hAnsi="Arial"/>
          <w:sz w:val="21"/>
          <w:szCs w:val="21"/>
        </w:rPr>
        <w:t xml:space="preserve"> — perfilado de los CSV con DuckDB (</w:t>
      </w:r>
      <w:r>
        <w:rPr>
          <w:rFonts w:ascii="Consolas" w:cs="Consolas" w:eastAsia="Consolas" w:hAnsi="Consolas"/>
          <w:color w:val="4A2746"/>
          <w:sz w:val="19"/>
          <w:szCs w:val="19"/>
        </w:rPr>
        <w:t xml:space="preserve">read_csv_auto</w:t>
      </w:r>
      <w:r>
        <w:rPr>
          <w:rFonts w:ascii="Arial" w:cs="Arial" w:eastAsia="Arial" w:hAnsi="Arial"/>
          <w:sz w:val="21"/>
          <w:szCs w:val="21"/>
        </w:rPr>
        <w:t xml:space="preserve">): esquema y tipos por año, matriz de disponibilidad de variables clave, conteos de filas y </w:t>
      </w:r>
      <w:r>
        <w:rPr>
          <w:rFonts w:ascii="Consolas" w:cs="Consolas" w:eastAsia="Consolas" w:hAnsi="Consolas"/>
          <w:color w:val="4A2746"/>
          <w:sz w:val="19"/>
          <w:szCs w:val="19"/>
        </w:rPr>
        <w:t xml:space="preserve">RBD</w:t>
      </w:r>
      <w:r>
        <w:rPr>
          <w:rFonts w:ascii="Arial" w:cs="Arial" w:eastAsia="Arial" w:hAnsi="Arial"/>
          <w:sz w:val="21"/>
          <w:szCs w:val="21"/>
        </w:rPr>
        <w:t xml:space="preserve"> distintos, y cobertura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2A0" w:sz="24"/>
              <w:bottom w:val="none"/>
              <w:right w:val="none"/>
            </w:tcBorders>
            <w:shd w:fill="F5F2EF" w:val="clear"/>
            <w:tcMar>
              <w:top w:type="dxa" w:w="120"/>
              <w:left w:type="dxa" w:w="200"/>
              <w:bottom w:type="dxa" w:w="120"/>
              <w:right w:type="dxa" w:w="160"/>
            </w:tcMar>
          </w:tcPr>
          <w:p>
            <w:pPr>
              <w:spacing w:after="60"/>
            </w:pPr>
            <w:r>
              <w:rPr>
                <w:rFonts w:ascii="Arial" w:cs="Arial" w:eastAsia="Arial" w:hAnsi="Arial"/>
                <w:b/>
                <w:bCs/>
                <w:color w:val="1A1A1A"/>
                <w:sz w:val="20"/>
                <w:szCs w:val="20"/>
              </w:rPr>
              <w:t xml:space="preserve">Nota metodológica — por qué DuckDB y no readr/vroom</w:t>
            </w:r>
          </w:p>
          <w:p>
            <w:pPr>
              <w:spacing w:after="40"/>
            </w:pPr>
            <w:r>
              <w:rPr>
                <w:rFonts w:ascii="Arial" w:cs="Arial" w:eastAsia="Arial" w:hAnsi="Arial"/>
                <w:sz w:val="21"/>
                <w:szCs w:val="21"/>
              </w:rPr>
              <w:t xml:space="preserve">Con ~3,5 millones de filas por archivo y 10 años, cargar en memoria es innecesario para un perfilado. DuckDB consulta el CSV en disco y resuelve </w:t>
            </w:r>
            <w:r>
              <w:rPr>
                <w:rFonts w:ascii="Consolas" w:cs="Consolas" w:eastAsia="Consolas" w:hAnsi="Consolas"/>
                <w:color w:val="4A2746"/>
                <w:sz w:val="19"/>
                <w:szCs w:val="19"/>
              </w:rPr>
              <w:t xml:space="preserve">COUNT(DISTINCT)</w:t>
            </w:r>
            <w:r>
              <w:rPr>
                <w:rFonts w:ascii="Arial" w:cs="Arial" w:eastAsia="Arial" w:hAnsi="Arial"/>
                <w:sz w:val="21"/>
                <w:szCs w:val="21"/>
              </w:rPr>
              <w:t xml:space="preserve"> y filtros en el motor; R solo recibe escalares. La inferencia de tipos usa una muestra acotada (</w:t>
            </w:r>
            <w:r>
              <w:rPr>
                <w:rFonts w:ascii="Consolas" w:cs="Consolas" w:eastAsia="Consolas" w:hAnsi="Consolas"/>
                <w:color w:val="4A2746"/>
                <w:sz w:val="19"/>
                <w:szCs w:val="19"/>
              </w:rPr>
              <w:t xml:space="preserve">sample_size = 50000</w:t>
            </w:r>
            <w:r>
              <w:rPr>
                <w:rFonts w:ascii="Arial" w:cs="Arial" w:eastAsia="Arial" w:hAnsi="Arial"/>
                <w:sz w:val="21"/>
                <w:szCs w:val="21"/>
              </w:rPr>
              <w:t xml:space="preserve">), no el archivo completo — un </w:t>
            </w:r>
            <w:r>
              <w:rPr>
                <w:rFonts w:ascii="Consolas" w:cs="Consolas" w:eastAsia="Consolas" w:hAnsi="Consolas"/>
                <w:color w:val="4A2746"/>
                <w:sz w:val="19"/>
                <w:szCs w:val="19"/>
              </w:rPr>
              <w:t xml:space="preserve">sample_size = -1</w:t>
            </w:r>
            <w:r>
              <w:rPr>
                <w:rFonts w:ascii="Arial" w:cs="Arial" w:eastAsia="Arial" w:hAnsi="Arial"/>
                <w:sz w:val="21"/>
                <w:szCs w:val="21"/>
              </w:rPr>
              <w:t xml:space="preserve"> obligaría a leer toda la serie solo para el </w:t>
            </w:r>
            <w:r>
              <w:rPr>
                <w:rFonts w:ascii="Consolas" w:cs="Consolas" w:eastAsia="Consolas" w:hAnsi="Consolas"/>
                <w:color w:val="4A2746"/>
                <w:sz w:val="19"/>
                <w:szCs w:val="19"/>
              </w:rPr>
              <w:t xml:space="preserve">DESCRIBE</w:t>
            </w:r>
            <w:r>
              <w:rPr>
                <w:rFonts w:ascii="Arial" w:cs="Arial" w:eastAsia="Arial" w:hAnsi="Arial"/>
                <w:sz w:val="21"/>
                <w:szCs w:val="21"/>
              </w:rPr>
              <w:t xml:space="preserve">.</w:t>
            </w:r>
          </w:p>
        </w:tc>
      </w:tr>
    </w:tbl>
    <w:p>
      <w:pPr>
        <w:pStyle w:val="Heading1"/>
      </w:pPr>
      <w:r>
        <w:t xml:space="preserve">3. Inventario del directorio</w:t>
      </w:r>
    </w:p>
    <w:p>
      <w:pPr>
        <w:spacing w:after="120" w:line="276"/>
      </w:pPr>
      <w:r>
        <w:rPr>
          <w:rFonts w:ascii="Arial" w:cs="Arial" w:eastAsia="Arial" w:hAnsi="Arial"/>
          <w:sz w:val="21"/>
          <w:szCs w:val="21"/>
        </w:rPr>
        <w:t xml:space="preserve">Resultado de </w:t>
      </w:r>
      <w:r>
        <w:rPr>
          <w:rFonts w:ascii="Consolas" w:cs="Consolas" w:eastAsia="Consolas" w:hAnsi="Consolas"/>
          <w:color w:val="4A2746"/>
          <w:sz w:val="19"/>
          <w:szCs w:val="19"/>
        </w:rPr>
        <w:t xml:space="preserve">01_escanear_insumos.R</w:t>
      </w:r>
      <w:r>
        <w:rPr>
          <w:rFonts w:ascii="Arial" w:cs="Arial" w:eastAsia="Arial" w:hAnsi="Arial"/>
          <w:sz w:val="21"/>
          <w:szCs w:val="21"/>
        </w:rPr>
        <w:t xml:space="preserve">. El volumen de los CSV justifica por sí solo el enfoque perezoso.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Extensión</w:t>
            </w:r>
          </w:p>
        </w:tc>
        <w:tc>
          <w:tcPr>
            <w:tcW w:type="dxa" w:w="312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N° archivos</w:t>
            </w:r>
          </w:p>
        </w:tc>
        <w:tc>
          <w:tcPr>
            <w:tcW w:type="dxa" w:w="312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Peso total</w:t>
            </w:r>
          </w:p>
        </w:tc>
      </w:tr>
      <w:tr>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csv</w:t>
            </w:r>
          </w:p>
        </w:tc>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w:t>
            </w:r>
          </w:p>
        </w:tc>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5.484 MB</w:t>
            </w:r>
          </w:p>
        </w:tc>
      </w:tr>
      <w:tr>
        <w:tc>
          <w:tcPr>
            <w:tcW w:type="dxa" w:w="312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pdf</w:t>
            </w:r>
          </w:p>
        </w:tc>
        <w:tc>
          <w:tcPr>
            <w:tcW w:type="dxa" w:w="312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w:t>
            </w:r>
          </w:p>
        </w:tc>
        <w:tc>
          <w:tcPr>
            <w:tcW w:type="dxa" w:w="312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5,94 MB</w:t>
            </w:r>
          </w:p>
        </w:tc>
      </w:tr>
      <w:tr>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xlsx</w:t>
            </w:r>
          </w:p>
        </w:tc>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w:t>
            </w:r>
          </w:p>
        </w:tc>
        <w:tc>
          <w:tcPr>
            <w:tcW w:type="dxa" w:w="312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1,05 MB</w:t>
            </w:r>
          </w:p>
        </w:tc>
      </w:tr>
    </w:tbl>
    <w:p>
      <w:pPr>
        <w:spacing w:after="120" w:line="276"/>
      </w:pPr>
      <w:r>
        <w:rPr>
          <w:sz w:val="8"/>
          <w:szCs w:val="8"/>
        </w:rPr>
        <w:t xml:space="preserve"/>
      </w:r>
    </w:p>
    <w:p>
      <w:pPr>
        <w:pStyle w:val="Heading3"/>
      </w:pPr>
      <w:r>
        <w:t xml:space="preserve">Detalle de CSV 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800"/>
        <w:gridCol w:w="2000"/>
      </w:tblGrid>
      <w:tr>
        <w:trPr>
          <w:tblHeader/>
        </w:trPr>
        <w:tc>
          <w:tcPr>
            <w:tcW w:type="dxa" w:w="12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Año</w:t>
            </w:r>
          </w:p>
        </w:tc>
        <w:tc>
          <w:tcPr>
            <w:tcW w:type="dxa" w:w="43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Archivo</w:t>
            </w:r>
          </w:p>
        </w:tc>
        <w:tc>
          <w:tcPr>
            <w:tcW w:type="dxa" w:w="18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Peso</w:t>
            </w:r>
          </w:p>
        </w:tc>
        <w:tc>
          <w:tcPr>
            <w:tcW w:type="dxa" w:w="20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Modificado</w:t>
            </w:r>
          </w:p>
        </w:tc>
      </w:tr>
      <w:tr>
        <w:tc>
          <w:tcPr>
            <w:tcW w:type="dxa" w:w="12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2016</w:t>
            </w:r>
          </w:p>
        </w:tc>
        <w:tc>
          <w:tcPr>
            <w:tcW w:type="dxa" w:w="4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matricula_cem_2016.csv</w:t>
            </w:r>
          </w:p>
        </w:tc>
        <w:tc>
          <w:tcPr>
            <w:tcW w:type="dxa" w:w="18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515 MB</w:t>
            </w:r>
          </w:p>
        </w:tc>
        <w:tc>
          <w:tcPr>
            <w:tcW w:type="dxa" w:w="20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2017-11-14</w:t>
            </w:r>
          </w:p>
        </w:tc>
      </w:tr>
      <w:tr>
        <w:tc>
          <w:tcPr>
            <w:tcW w:type="dxa" w:w="12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2017</w:t>
            </w:r>
          </w:p>
        </w:tc>
        <w:tc>
          <w:tcPr>
            <w:tcW w:type="dxa" w:w="4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matricula_cem_2017.csv</w:t>
            </w:r>
          </w:p>
        </w:tc>
        <w:tc>
          <w:tcPr>
            <w:tcW w:type="dxa" w:w="18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530 MB</w:t>
            </w:r>
          </w:p>
        </w:tc>
        <w:tc>
          <w:tcPr>
            <w:tcW w:type="dxa" w:w="20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2017-12-11</w:t>
            </w:r>
          </w:p>
        </w:tc>
      </w:tr>
      <w:tr>
        <w:tc>
          <w:tcPr>
            <w:tcW w:type="dxa" w:w="12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2018</w:t>
            </w:r>
          </w:p>
        </w:tc>
        <w:tc>
          <w:tcPr>
            <w:tcW w:type="dxa" w:w="4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matricula_cem_2018.csv</w:t>
            </w:r>
          </w:p>
        </w:tc>
        <w:tc>
          <w:tcPr>
            <w:tcW w:type="dxa" w:w="18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526 MB</w:t>
            </w:r>
          </w:p>
        </w:tc>
        <w:tc>
          <w:tcPr>
            <w:tcW w:type="dxa" w:w="20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2018-10-05</w:t>
            </w:r>
          </w:p>
        </w:tc>
      </w:tr>
      <w:tr>
        <w:tc>
          <w:tcPr>
            <w:tcW w:type="dxa" w:w="12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2019</w:t>
            </w:r>
          </w:p>
        </w:tc>
        <w:tc>
          <w:tcPr>
            <w:tcW w:type="dxa" w:w="4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matricula_cem_2019.csv</w:t>
            </w:r>
          </w:p>
        </w:tc>
        <w:tc>
          <w:tcPr>
            <w:tcW w:type="dxa" w:w="18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551 MB</w:t>
            </w:r>
          </w:p>
        </w:tc>
        <w:tc>
          <w:tcPr>
            <w:tcW w:type="dxa" w:w="20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2019-10-30</w:t>
            </w:r>
          </w:p>
        </w:tc>
      </w:tr>
      <w:tr>
        <w:tc>
          <w:tcPr>
            <w:tcW w:type="dxa" w:w="12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2020</w:t>
            </w:r>
          </w:p>
        </w:tc>
        <w:tc>
          <w:tcPr>
            <w:tcW w:type="dxa" w:w="4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matricula_cem_2020.csv</w:t>
            </w:r>
          </w:p>
        </w:tc>
        <w:tc>
          <w:tcPr>
            <w:tcW w:type="dxa" w:w="18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549 MB</w:t>
            </w:r>
          </w:p>
        </w:tc>
        <w:tc>
          <w:tcPr>
            <w:tcW w:type="dxa" w:w="20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2020-09-21</w:t>
            </w:r>
          </w:p>
        </w:tc>
      </w:tr>
      <w:tr>
        <w:tc>
          <w:tcPr>
            <w:tcW w:type="dxa" w:w="12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2021</w:t>
            </w:r>
          </w:p>
        </w:tc>
        <w:tc>
          <w:tcPr>
            <w:tcW w:type="dxa" w:w="4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matricula_cem_2021.csv</w:t>
            </w:r>
          </w:p>
        </w:tc>
        <w:tc>
          <w:tcPr>
            <w:tcW w:type="dxa" w:w="18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560 MB</w:t>
            </w:r>
          </w:p>
        </w:tc>
        <w:tc>
          <w:tcPr>
            <w:tcW w:type="dxa" w:w="20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2021-09-13</w:t>
            </w:r>
          </w:p>
        </w:tc>
      </w:tr>
      <w:tr>
        <w:tc>
          <w:tcPr>
            <w:tcW w:type="dxa" w:w="12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2022</w:t>
            </w:r>
          </w:p>
        </w:tc>
        <w:tc>
          <w:tcPr>
            <w:tcW w:type="dxa" w:w="4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matricula_cem_2022.csv</w:t>
            </w:r>
          </w:p>
        </w:tc>
        <w:tc>
          <w:tcPr>
            <w:tcW w:type="dxa" w:w="18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563 MB</w:t>
            </w:r>
          </w:p>
        </w:tc>
        <w:tc>
          <w:tcPr>
            <w:tcW w:type="dxa" w:w="20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2022-09-08</w:t>
            </w:r>
          </w:p>
        </w:tc>
      </w:tr>
      <w:tr>
        <w:tc>
          <w:tcPr>
            <w:tcW w:type="dxa" w:w="12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2023</w:t>
            </w:r>
          </w:p>
        </w:tc>
        <w:tc>
          <w:tcPr>
            <w:tcW w:type="dxa" w:w="4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matricula_cem_2023.csv</w:t>
            </w:r>
          </w:p>
        </w:tc>
        <w:tc>
          <w:tcPr>
            <w:tcW w:type="dxa" w:w="18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561 MB</w:t>
            </w:r>
          </w:p>
        </w:tc>
        <w:tc>
          <w:tcPr>
            <w:tcW w:type="dxa" w:w="20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2023-09-07</w:t>
            </w:r>
          </w:p>
        </w:tc>
      </w:tr>
      <w:tr>
        <w:tc>
          <w:tcPr>
            <w:tcW w:type="dxa" w:w="12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2024</w:t>
            </w:r>
          </w:p>
        </w:tc>
        <w:tc>
          <w:tcPr>
            <w:tcW w:type="dxa" w:w="4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matricula_cem_2024.csv</w:t>
            </w:r>
          </w:p>
        </w:tc>
        <w:tc>
          <w:tcPr>
            <w:tcW w:type="dxa" w:w="18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563 MB</w:t>
            </w:r>
          </w:p>
        </w:tc>
        <w:tc>
          <w:tcPr>
            <w:tcW w:type="dxa" w:w="20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2024-11-11</w:t>
            </w:r>
          </w:p>
        </w:tc>
      </w:tr>
      <w:tr>
        <w:tc>
          <w:tcPr>
            <w:tcW w:type="dxa" w:w="12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2025</w:t>
            </w:r>
          </w:p>
        </w:tc>
        <w:tc>
          <w:tcPr>
            <w:tcW w:type="dxa" w:w="4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matricula_cem_2025.csv</w:t>
            </w:r>
          </w:p>
        </w:tc>
        <w:tc>
          <w:tcPr>
            <w:tcW w:type="dxa" w:w="18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566 MB</w:t>
            </w:r>
          </w:p>
        </w:tc>
        <w:tc>
          <w:tcPr>
            <w:tcW w:type="dxa" w:w="20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2025-09-23</w:t>
            </w:r>
          </w:p>
        </w:tc>
      </w:tr>
    </w:tbl>
    <w:p>
      <w:pPr>
        <w:pStyle w:val="Heading1"/>
      </w:pPr>
      <w:r>
        <w:t xml:space="preserve">4. Esquema y disponibilidad de variables</w:t>
      </w:r>
    </w:p>
    <w:p>
      <w:pPr>
        <w:spacing w:after="120" w:line="276"/>
      </w:pPr>
      <w:r>
        <w:rPr>
          <w:rFonts w:ascii="Arial" w:cs="Arial" w:eastAsia="Arial" w:hAnsi="Arial"/>
          <w:sz w:val="21"/>
          <w:szCs w:val="21"/>
        </w:rPr>
        <w:t xml:space="preserve">El esquema es estable en toda la serie. Para la decisión de granularidad importan las variables de identificación, nivel y grado; todas están presentes los 10 años, con dos excepciones temporales detalladas abajo.</w:t>
      </w:r>
    </w:p>
    <w:p>
      <w:pPr>
        <w:pStyle w:val="Heading2"/>
      </w:pPr>
      <w:r>
        <w:t xml:space="preserve">4.1 Variables clave (identificación, nivel y 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Variable</w:t>
            </w:r>
          </w:p>
        </w:tc>
        <w:tc>
          <w:tcPr>
            <w:tcW w:type="dxa" w:w="165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2016–17</w:t>
            </w:r>
          </w:p>
        </w:tc>
        <w:tc>
          <w:tcPr>
            <w:tcW w:type="dxa" w:w="165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2018</w:t>
            </w:r>
          </w:p>
        </w:tc>
        <w:tc>
          <w:tcPr>
            <w:tcW w:type="dxa" w:w="165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2019–23</w:t>
            </w:r>
          </w:p>
        </w:tc>
        <w:tc>
          <w:tcPr>
            <w:tcW w:type="dxa" w:w="165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2024–25</w:t>
            </w:r>
          </w:p>
        </w:tc>
      </w:tr>
      <w:tr>
        <w:tc>
          <w:tcPr>
            <w:tcW w:type="dxa" w:w="2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RBD</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COD_ENSE2</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COD_ENSE3</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COD_GRADO</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COD_GRADO2</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ENS</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ESTADO_ESTAB</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c>
          <w:tcPr>
            <w:tcW w:type="dxa" w:w="165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r>
        <w:tc>
          <w:tcPr>
            <w:tcW w:type="dxa" w:w="2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NOMBRE_SLEP</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w:t>
            </w:r>
          </w:p>
        </w:tc>
        <w:tc>
          <w:tcPr>
            <w:tcW w:type="dxa" w:w="165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Sí</w:t>
            </w:r>
          </w:p>
        </w:tc>
      </w:tr>
    </w:tbl>
    <w:p>
      <w:pPr>
        <w:spacing w:after="120" w:line="276"/>
      </w:pPr>
      <w:r>
        <w:rPr>
          <w:i/>
          <w:iCs/>
          <w:color w:val="747474"/>
          <w:sz w:val="18"/>
          <w:szCs w:val="18"/>
        </w:rPr>
        <w:t xml:space="preserve">* En 2016–2017 la columna existe pero no es confiable para aislar establecimientos funcionando (ver §6.1).</w:t>
      </w:r>
    </w:p>
    <w:p>
      <w:pPr>
        <w:pStyle w:val="Heading2"/>
      </w:pPr>
      <w:r>
        <w:t xml:space="preserve">4.2 Diccionario operativo de las variables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Variable</w:t>
            </w:r>
          </w:p>
        </w:tc>
        <w:tc>
          <w:tcPr>
            <w:tcW w:type="dxa" w:w="69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Rol en el proyecto</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RBD</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Identificador del establecimiento. Clave de agregación de la ficha. Cardinalidad ~11.000–11.900 por año.</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Código de enseñanza detallado (Anexo II). Permite distinguir HC, TP, artística, especial y adultos.</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COD_ENSE2</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Niveles agrupados (Anexo III). Variable de corte básica/media del proyecto. Ver §5.</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COD_ENSE3</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Niveles con educación especial reasignada (Anexo IV). Útil si se decide reasignar especial a básica/parvularia.</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COD_GRADO</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Grado dentro del nivel (Anexo V). Habilita matrícula por grado si se requiere mayor detalle en la ficha.</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ESTADO_ESTAB</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1 = funcionando. Filtro estándar desde 2015; no confiable 2016–2017 en estos datos.</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NOMBRE_SLEP</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Nombre del Servicio Local. Solo desde 2024. No usar como llave del universo SLEP histórico.</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COD_COM_RBD</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Comuna del establecimiento. Llave recomendada para construir el universo SLEP Costa Central en toda la serie.</w:t>
            </w:r>
          </w:p>
        </w:tc>
      </w:tr>
    </w:tbl>
    <w:p>
      <w:pPr>
        <w:pStyle w:val="Heading1"/>
      </w:pPr>
      <w:r>
        <w:t xml:space="preserve">5. Corte básica / media</w:t>
      </w:r>
    </w:p>
    <w:p>
      <w:pPr>
        <w:spacing w:after="120" w:line="276"/>
      </w:pPr>
      <w:r>
        <w:rPr>
          <w:rFonts w:ascii="Arial" w:cs="Arial" w:eastAsia="Arial" w:hAnsi="Arial"/>
          <w:sz w:val="21"/>
          <w:szCs w:val="21"/>
        </w:rPr>
        <w:t xml:space="preserve">El invariante del proyecto exige que ninguna cifra agregada mezcle básica y media. El corte se resuelve con </w:t>
      </w:r>
      <w:r>
        <w:rPr>
          <w:rFonts w:ascii="Consolas" w:cs="Consolas" w:eastAsia="Consolas" w:hAnsi="Consolas"/>
          <w:color w:val="4A2746"/>
          <w:sz w:val="19"/>
          <w:szCs w:val="19"/>
        </w:rPr>
        <w:t xml:space="preserve">COD_ENSE2</w:t>
      </w:r>
      <w:r>
        <w:rPr>
          <w:rFonts w:ascii="Arial" w:cs="Arial" w:eastAsia="Arial" w:hAnsi="Arial"/>
          <w:sz w:val="21"/>
          <w:szCs w:val="21"/>
        </w:rPr>
        <w:t xml:space="preserve">, cuyo dominio se verificó empíricamente en el año más reciente (2025).</w:t>
      </w:r>
    </w:p>
    <w:p>
      <w:pPr>
        <w:pStyle w:val="Heading2"/>
      </w:pPr>
      <w:r>
        <w:t xml:space="preserve">5.1 Mapeo de COD_ENSE2 al invariante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COD_ENSE2</w:t>
            </w:r>
          </w:p>
        </w:tc>
        <w:tc>
          <w:tcPr>
            <w:tcW w:type="dxa" w:w="53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Descripción (Anexo III)</w:t>
            </w:r>
          </w:p>
        </w:tc>
        <w:tc>
          <w:tcPr>
            <w:tcW w:type="dxa" w:w="25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Tratamiento en el proyecto</w:t>
            </w:r>
          </w:p>
        </w:tc>
      </w:tr>
      <w:tr>
        <w:tc>
          <w:tcPr>
            <w:tcW w:type="dxa" w:w="1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1</w:t>
            </w:r>
          </w:p>
        </w:tc>
        <w:tc>
          <w:tcPr>
            <w:tcW w:type="dxa" w:w="5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Educación Parvularia</w:t>
            </w:r>
          </w:p>
        </w:tc>
        <w:tc>
          <w:tcPr>
            <w:tcW w:type="dxa" w:w="2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Excluido</w:t>
            </w:r>
          </w:p>
        </w:tc>
      </w:tr>
      <w:tr>
        <w:tc>
          <w:tcPr>
            <w:tcW w:type="dxa" w:w="1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w:t>
            </w:r>
          </w:p>
        </w:tc>
        <w:tc>
          <w:tcPr>
            <w:tcW w:type="dxa" w:w="5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Enseñanza Básica Niños</w:t>
            </w:r>
          </w:p>
        </w:tc>
        <w:tc>
          <w:tcPr>
            <w:tcW w:type="dxa" w:w="2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BÁSICA</w:t>
            </w:r>
          </w:p>
        </w:tc>
      </w:tr>
      <w:tr>
        <w:tc>
          <w:tcPr>
            <w:tcW w:type="dxa" w:w="1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3</w:t>
            </w:r>
          </w:p>
        </w:tc>
        <w:tc>
          <w:tcPr>
            <w:tcW w:type="dxa" w:w="5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Educación Básica Adultos</w:t>
            </w:r>
          </w:p>
        </w:tc>
        <w:tc>
          <w:tcPr>
            <w:tcW w:type="dxa" w:w="2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Excluido</w:t>
            </w:r>
          </w:p>
        </w:tc>
      </w:tr>
      <w:tr>
        <w:tc>
          <w:tcPr>
            <w:tcW w:type="dxa" w:w="1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4</w:t>
            </w:r>
          </w:p>
        </w:tc>
        <w:tc>
          <w:tcPr>
            <w:tcW w:type="dxa" w:w="5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Educación Especial</w:t>
            </w:r>
          </w:p>
        </w:tc>
        <w:tc>
          <w:tcPr>
            <w:tcW w:type="dxa" w:w="2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Reasignado (ver COD_ENSE3)</w:t>
            </w:r>
          </w:p>
        </w:tc>
      </w:tr>
      <w:tr>
        <w:tc>
          <w:tcPr>
            <w:tcW w:type="dxa" w:w="1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5</w:t>
            </w:r>
          </w:p>
        </w:tc>
        <w:tc>
          <w:tcPr>
            <w:tcW w:type="dxa" w:w="5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 Humanístico-Científica Jóvenes</w:t>
            </w:r>
          </w:p>
        </w:tc>
        <w:tc>
          <w:tcPr>
            <w:tcW w:type="dxa" w:w="2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w:t>
            </w:r>
          </w:p>
        </w:tc>
      </w:tr>
      <w:tr>
        <w:tc>
          <w:tcPr>
            <w:tcW w:type="dxa" w:w="1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6</w:t>
            </w:r>
          </w:p>
        </w:tc>
        <w:tc>
          <w:tcPr>
            <w:tcW w:type="dxa" w:w="5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 Humanístico-Científica Adultos</w:t>
            </w:r>
          </w:p>
        </w:tc>
        <w:tc>
          <w:tcPr>
            <w:tcW w:type="dxa" w:w="2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Excluido</w:t>
            </w:r>
          </w:p>
        </w:tc>
      </w:tr>
      <w:tr>
        <w:tc>
          <w:tcPr>
            <w:tcW w:type="dxa" w:w="1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7</w:t>
            </w:r>
          </w:p>
        </w:tc>
        <w:tc>
          <w:tcPr>
            <w:tcW w:type="dxa" w:w="53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 Técnico-Profesional y Artística Jóvenes</w:t>
            </w:r>
          </w:p>
        </w:tc>
        <w:tc>
          <w:tcPr>
            <w:tcW w:type="dxa" w:w="25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w:t>
            </w:r>
          </w:p>
        </w:tc>
      </w:tr>
      <w:tr>
        <w:tc>
          <w:tcPr>
            <w:tcW w:type="dxa" w:w="1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8</w:t>
            </w:r>
          </w:p>
        </w:tc>
        <w:tc>
          <w:tcPr>
            <w:tcW w:type="dxa" w:w="53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Media Técnico-Profesional y Artística Adultos</w:t>
            </w:r>
          </w:p>
        </w:tc>
        <w:tc>
          <w:tcPr>
            <w:tcW w:type="dxa" w:w="25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Excluido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5924E" w:sz="24"/>
              <w:bottom w:val="none"/>
              <w:right w:val="none"/>
            </w:tcBorders>
            <w:shd w:fill="F5F2EF" w:val="clear"/>
            <w:tcMar>
              <w:top w:type="dxa" w:w="120"/>
              <w:left w:type="dxa" w:w="200"/>
              <w:bottom w:type="dxa" w:w="120"/>
              <w:right w:type="dxa" w:w="160"/>
            </w:tcMar>
          </w:tcPr>
          <w:p>
            <w:pPr>
              <w:spacing w:after="60"/>
            </w:pPr>
            <w:r>
              <w:rPr>
                <w:rFonts w:ascii="Arial" w:cs="Arial" w:eastAsia="Arial" w:hAnsi="Arial"/>
                <w:b/>
                <w:bCs/>
                <w:color w:val="1A1A1A"/>
                <w:sz w:val="20"/>
                <w:szCs w:val="20"/>
              </w:rPr>
              <w:t xml:space="preserve">Decisión de corte</w:t>
            </w:r>
          </w:p>
          <w:p>
            <w:pPr>
              <w:spacing w:after="40"/>
            </w:pPr>
            <w:r>
              <w:rPr>
                <w:rFonts w:ascii="Arial" w:cs="Arial" w:eastAsia="Arial" w:hAnsi="Arial"/>
                <w:sz w:val="21"/>
                <w:szCs w:val="21"/>
              </w:rPr>
              <w:t xml:space="preserve">BÁSICA = </w:t>
            </w:r>
            <w:r>
              <w:rPr>
                <w:rFonts w:ascii="Consolas" w:cs="Consolas" w:eastAsia="Consolas" w:hAnsi="Consolas"/>
                <w:color w:val="4A2746"/>
                <w:sz w:val="19"/>
                <w:szCs w:val="19"/>
              </w:rPr>
              <w:t xml:space="preserve">COD_ENSE2 == 2</w:t>
            </w:r>
            <w:r>
              <w:rPr>
                <w:rFonts w:ascii="Arial" w:cs="Arial" w:eastAsia="Arial" w:hAnsi="Arial"/>
                <w:sz w:val="21"/>
                <w:szCs w:val="21"/>
              </w:rPr>
              <w:t xml:space="preserve">   ·   MEDIA = </w:t>
            </w:r>
            <w:r>
              <w:rPr>
                <w:rFonts w:ascii="Consolas" w:cs="Consolas" w:eastAsia="Consolas" w:hAnsi="Consolas"/>
                <w:color w:val="4A2746"/>
                <w:sz w:val="19"/>
                <w:szCs w:val="19"/>
              </w:rPr>
              <w:t xml:space="preserve">COD_ENSE2 %in% c(5, 7)</w:t>
            </w:r>
            <w:r>
              <w:rPr>
                <w:rFonts w:ascii="Arial" w:cs="Arial" w:eastAsia="Arial" w:hAnsi="Arial"/>
                <w:sz w:val="21"/>
                <w:szCs w:val="21"/>
              </w:rPr>
              <w:t xml:space="preserve">.</w:t>
            </w:r>
          </w:p>
          <w:p>
            <w:pPr>
              <w:spacing w:after="40"/>
            </w:pPr>
            <w:r>
              <w:rPr>
                <w:rFonts w:ascii="Arial" w:cs="Arial" w:eastAsia="Arial" w:hAnsi="Arial"/>
                <w:sz w:val="21"/>
                <w:szCs w:val="21"/>
              </w:rPr>
              <w:t xml:space="preserve">Parvularia, adultos (3, 6, 8) y educación especial (4) quedan fuera del motor de Categoría de Desempeño por definición del producto. Si más adelante se decide incorporar educación especial, usar </w:t>
            </w:r>
            <w:r>
              <w:rPr>
                <w:rFonts w:ascii="Consolas" w:cs="Consolas" w:eastAsia="Consolas" w:hAnsi="Consolas"/>
                <w:color w:val="4A2746"/>
                <w:sz w:val="19"/>
                <w:szCs w:val="19"/>
              </w:rPr>
              <w:t xml:space="preserve">COD_ENSE3</w:t>
            </w:r>
            <w:r>
              <w:rPr>
                <w:rFonts w:ascii="Arial" w:cs="Arial" w:eastAsia="Arial" w:hAnsi="Arial"/>
                <w:sz w:val="21"/>
                <w:szCs w:val="21"/>
              </w:rPr>
              <w:t xml:space="preserve"> para su reasignación, nunca sumándola directamente a básica o media.</w:t>
            </w:r>
          </w:p>
        </w:tc>
      </w:tr>
    </w:tbl>
    <w:p>
      <w:pPr>
        <w:pStyle w:val="Heading2"/>
      </w:pPr>
      <w:r>
        <w:t xml:space="preserve">5.2 Cobertura por nivel — verificación empírica</w:t>
      </w:r>
    </w:p>
    <w:p>
      <w:pPr>
        <w:spacing w:after="120" w:line="276"/>
      </w:pPr>
      <w:r>
        <w:rPr>
          <w:rFonts w:ascii="Arial" w:cs="Arial" w:eastAsia="Arial" w:hAnsi="Arial"/>
          <w:sz w:val="21"/>
          <w:szCs w:val="21"/>
        </w:rPr>
        <w:t xml:space="preserve">Conteo de establecimientos (RBD distintos) con matrícula en cada nivel, por año. La última columna —EE que imparten ambos niveles— es el insumo central de la decisión de granularidad.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60"/>
        <w:gridCol w:w="1380"/>
        <w:gridCol w:w="1380"/>
        <w:gridCol w:w="1380"/>
        <w:gridCol w:w="1380"/>
        <w:gridCol w:w="1380"/>
      </w:tblGrid>
      <w:tr>
        <w:trPr>
          <w:tblHeader/>
        </w:trPr>
        <w:tc>
          <w:tcPr>
            <w:tcW w:type="dxa" w:w="9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Año</w:t>
            </w:r>
          </w:p>
        </w:tc>
        <w:tc>
          <w:tcPr>
            <w:tcW w:type="dxa" w:w="15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Filas</w:t>
            </w:r>
          </w:p>
        </w:tc>
        <w:tc>
          <w:tcPr>
            <w:tcW w:type="dxa" w:w="138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RBD dist.</w:t>
            </w:r>
          </w:p>
        </w:tc>
        <w:tc>
          <w:tcPr>
            <w:tcW w:type="dxa" w:w="138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RBD func.</w:t>
            </w:r>
          </w:p>
        </w:tc>
        <w:tc>
          <w:tcPr>
            <w:tcW w:type="dxa" w:w="138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c/ Básica</w:t>
            </w:r>
          </w:p>
        </w:tc>
        <w:tc>
          <w:tcPr>
            <w:tcW w:type="dxa" w:w="138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c/ Media</w:t>
            </w:r>
          </w:p>
        </w:tc>
        <w:tc>
          <w:tcPr>
            <w:tcW w:type="dxa" w:w="138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Básica y Media</w:t>
            </w:r>
          </w:p>
        </w:tc>
      </w:tr>
      <w:tr>
        <w:tc>
          <w:tcPr>
            <w:tcW w:type="dxa" w:w="9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2016</w:t>
            </w:r>
          </w:p>
        </w:tc>
        <w:tc>
          <w:tcPr>
            <w:tcW w:type="dxa" w:w="1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3.550.949</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11.863</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8.336</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2.948</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2.373</w:t>
            </w:r>
          </w:p>
        </w:tc>
      </w:tr>
      <w:tr>
        <w:tc>
          <w:tcPr>
            <w:tcW w:type="dxa" w:w="9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2017</w:t>
            </w:r>
          </w:p>
        </w:tc>
        <w:tc>
          <w:tcPr>
            <w:tcW w:type="dxa" w:w="1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3.558.394</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11.754</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8.276</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2.969</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2.399</w:t>
            </w:r>
          </w:p>
        </w:tc>
      </w:tr>
      <w:tr>
        <w:tc>
          <w:tcPr>
            <w:tcW w:type="dxa" w:w="9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2018</w:t>
            </w:r>
          </w:p>
        </w:tc>
        <w:tc>
          <w:tcPr>
            <w:tcW w:type="dxa" w:w="1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3.582.448</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11.582</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11.574</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8.204</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2.993</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2.434</w:t>
            </w:r>
          </w:p>
        </w:tc>
      </w:tr>
      <w:tr>
        <w:tc>
          <w:tcPr>
            <w:tcW w:type="dxa" w:w="9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2019</w:t>
            </w:r>
          </w:p>
        </w:tc>
        <w:tc>
          <w:tcPr>
            <w:tcW w:type="dxa" w:w="1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3.624.343</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11.462</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11.451</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8.121</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3.003</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2.446</w:t>
            </w:r>
          </w:p>
        </w:tc>
      </w:tr>
      <w:tr>
        <w:tc>
          <w:tcPr>
            <w:tcW w:type="dxa" w:w="9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2020</w:t>
            </w:r>
          </w:p>
        </w:tc>
        <w:tc>
          <w:tcPr>
            <w:tcW w:type="dxa" w:w="1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3.608.786</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11.350</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11.342</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8.063</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3.016</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2.467</w:t>
            </w:r>
          </w:p>
        </w:tc>
      </w:tr>
      <w:tr>
        <w:tc>
          <w:tcPr>
            <w:tcW w:type="dxa" w:w="9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2021</w:t>
            </w:r>
          </w:p>
        </w:tc>
        <w:tc>
          <w:tcPr>
            <w:tcW w:type="dxa" w:w="1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3.626.456</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11.287</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11.285</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8.030</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3.020</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2.479</w:t>
            </w:r>
          </w:p>
        </w:tc>
      </w:tr>
      <w:tr>
        <w:tc>
          <w:tcPr>
            <w:tcW w:type="dxa" w:w="9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2022</w:t>
            </w:r>
          </w:p>
        </w:tc>
        <w:tc>
          <w:tcPr>
            <w:tcW w:type="dxa" w:w="1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3.644.548</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11.220</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11.216</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7.977</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3.038</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2.497</w:t>
            </w:r>
          </w:p>
        </w:tc>
      </w:tr>
      <w:tr>
        <w:tc>
          <w:tcPr>
            <w:tcW w:type="dxa" w:w="9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2023</w:t>
            </w:r>
          </w:p>
        </w:tc>
        <w:tc>
          <w:tcPr>
            <w:tcW w:type="dxa" w:w="1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3.631.065</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11.125</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11.123</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7.919</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3.058</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2.518</w:t>
            </w:r>
          </w:p>
        </w:tc>
      </w:tr>
      <w:tr>
        <w:tc>
          <w:tcPr>
            <w:tcW w:type="dxa" w:w="9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2024</w:t>
            </w:r>
          </w:p>
        </w:tc>
        <w:tc>
          <w:tcPr>
            <w:tcW w:type="dxa" w:w="1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3.582.943</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11.049</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11.048</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7.869</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3.070</w:t>
            </w:r>
          </w:p>
        </w:tc>
        <w:tc>
          <w:tcPr>
            <w:tcW w:type="dxa" w:w="138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2.528</w:t>
            </w:r>
          </w:p>
        </w:tc>
      </w:tr>
      <w:tr>
        <w:tc>
          <w:tcPr>
            <w:tcW w:type="dxa" w:w="9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2025</w:t>
            </w:r>
          </w:p>
        </w:tc>
        <w:tc>
          <w:tcPr>
            <w:tcW w:type="dxa" w:w="1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3.541.840</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10.949</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10.945</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7.809</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3.091</w:t>
            </w:r>
          </w:p>
        </w:tc>
        <w:tc>
          <w:tcPr>
            <w:tcW w:type="dxa" w:w="138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2.547</w:t>
            </w:r>
          </w:p>
        </w:tc>
      </w:tr>
    </w:tbl>
    <w:p>
      <w:pPr>
        <w:spacing w:after="120" w:line="276"/>
      </w:pPr>
      <w:r>
        <w:rPr>
          <w:i/>
          <w:iCs/>
          <w:color w:val="747474"/>
          <w:sz w:val="18"/>
          <w:szCs w:val="18"/>
        </w:rPr>
        <w:t xml:space="preserve">Filas = registros del CSV (≈ matrículas individuales). RBD func. = establecimientos con ESTADO_ESTAB = 1 (no disponible 2016–2017).</w:t>
      </w:r>
    </w:p>
    <w:p>
      <w:pPr>
        <w:pStyle w:val="Heading1"/>
      </w:pPr>
      <w:r>
        <w:t xml:space="preserve">6. Hallazgos y advertencias para el proyecto</w:t>
      </w:r>
    </w:p>
    <w:p>
      <w:pPr>
        <w:pStyle w:val="Heading2"/>
      </w:pPr>
      <w:r>
        <w:t xml:space="preserve">6.1 ESTADO_ESTAB no confiable en 2016–2017</w:t>
      </w:r>
    </w:p>
    <w:p>
      <w:pPr>
        <w:spacing w:after="120" w:line="276"/>
      </w:pPr>
      <w:r>
        <w:rPr>
          <w:rFonts w:ascii="Arial" w:cs="Arial" w:eastAsia="Arial" w:hAnsi="Arial"/>
          <w:sz w:val="21"/>
          <w:szCs w:val="21"/>
        </w:rPr>
        <w:t xml:space="preserve">El perfilado devolvió </w:t>
      </w:r>
      <w:r>
        <w:rPr>
          <w:rFonts w:ascii="Consolas" w:cs="Consolas" w:eastAsia="Consolas" w:hAnsi="Consolas"/>
          <w:color w:val="4A2746"/>
          <w:sz w:val="19"/>
          <w:szCs w:val="19"/>
        </w:rPr>
        <w:t xml:space="preserve">NA</w:t>
      </w:r>
      <w:r>
        <w:rPr>
          <w:rFonts w:ascii="Arial" w:cs="Arial" w:eastAsia="Arial" w:hAnsi="Arial"/>
          <w:sz w:val="21"/>
          <w:szCs w:val="21"/>
        </w:rPr>
        <w:t xml:space="preserve"> en establecimientos funcionando para 2016 y 2017. La glosa indica que el filtro </w:t>
      </w:r>
      <w:r>
        <w:rPr>
          <w:rFonts w:ascii="Consolas" w:cs="Consolas" w:eastAsia="Consolas" w:hAnsi="Consolas"/>
          <w:color w:val="4A2746"/>
          <w:sz w:val="19"/>
          <w:szCs w:val="19"/>
        </w:rPr>
        <w:t xml:space="preserve">ESTADO_ESTAB = 1</w:t>
      </w:r>
      <w:r>
        <w:rPr>
          <w:rFonts w:ascii="Arial" w:cs="Arial" w:eastAsia="Arial" w:hAnsi="Arial"/>
          <w:sz w:val="21"/>
          <w:szCs w:val="21"/>
        </w:rPr>
        <w:t xml:space="preserve"> aplica desde 2015, pero en estos archivos la columna no permite aislar el universo funcionando en esos dos años.</w:t>
      </w:r>
    </w:p>
    <w:p>
      <w:pPr>
        <w:spacing w:after="120" w:line="276"/>
      </w:pPr>
      <w:r>
        <w:rPr>
          <w:rFonts w:ascii="Arial" w:cs="Arial" w:eastAsia="Arial" w:hAnsi="Arial"/>
          <w:b/>
          <w:bCs/>
          <w:sz w:val="21"/>
          <w:szCs w:val="21"/>
        </w:rPr>
        <w:t xml:space="preserve">Implicancia: </w:t>
      </w:r>
      <w:r>
        <w:rPr>
          <w:rFonts w:ascii="Arial" w:cs="Arial" w:eastAsia="Arial" w:hAnsi="Arial"/>
          <w:sz w:val="21"/>
          <w:szCs w:val="21"/>
        </w:rPr>
        <w:t xml:space="preserve">para 2016–2017, usar el universo completo de RBD o derivar el estado por otra vía (p. ej., presencia de matrícula &gt; 0). Para 2018 en adelante el filtro es directo.</w:t>
      </w:r>
    </w:p>
    <w:p>
      <w:pPr>
        <w:pStyle w:val="Heading2"/>
      </w:pPr>
      <w:r>
        <w:t xml:space="preserve">6.2 NOMBRE_SLEP solo desde 2024</w:t>
      </w:r>
    </w:p>
    <w:p>
      <w:pPr>
        <w:spacing w:after="120" w:line="276"/>
      </w:pPr>
      <w:r>
        <w:rPr>
          <w:rFonts w:ascii="Arial" w:cs="Arial" w:eastAsia="Arial" w:hAnsi="Arial"/>
          <w:sz w:val="21"/>
          <w:szCs w:val="21"/>
        </w:rPr>
        <w:t xml:space="preserve">La columna que nombra el Servicio Local aparece recién en 2024. Para construir el universo SLEP Costa Central (Viña del Mar, Concón, Quintero, Puchuncaví) de forma homogénea en toda la serie, </w:t>
      </w:r>
      <w:r>
        <w:rPr>
          <w:rFonts w:ascii="Arial" w:cs="Arial" w:eastAsia="Arial" w:hAnsi="Arial"/>
          <w:sz w:val="21"/>
          <w:szCs w:val="21"/>
        </w:rPr>
        <w:t xml:space="preserve">filtrar por </w:t>
      </w:r>
      <w:r>
        <w:rPr>
          <w:rFonts w:ascii="Consolas" w:cs="Consolas" w:eastAsia="Consolas" w:hAnsi="Consolas"/>
          <w:color w:val="4A2746"/>
          <w:sz w:val="19"/>
          <w:szCs w:val="19"/>
        </w:rPr>
        <w:t xml:space="preserve">COD_COM_RBD</w:t>
      </w:r>
      <w:r>
        <w:rPr>
          <w:rFonts w:ascii="Arial" w:cs="Arial" w:eastAsia="Arial" w:hAnsi="Arial"/>
          <w:sz w:val="21"/>
          <w:szCs w:val="21"/>
        </w:rPr>
        <w:t xml:space="preserve"> con los códigos comunales, no por </w:t>
      </w:r>
      <w:r>
        <w:rPr>
          <w:rFonts w:ascii="Consolas" w:cs="Consolas" w:eastAsia="Consolas" w:hAnsi="Consolas"/>
          <w:color w:val="4A2746"/>
          <w:sz w:val="19"/>
          <w:szCs w:val="19"/>
        </w:rPr>
        <w:t xml:space="preserve">NOMBRE_SLEP</w:t>
      </w:r>
      <w:r>
        <w:rPr>
          <w:rFonts w:ascii="Arial" w:cs="Arial" w:eastAsia="Arial" w:hAnsi="Arial"/>
          <w:sz w:val="21"/>
          <w:szCs w:val="21"/>
        </w:rPr>
        <w:t xml:space="preserve">.</w:t>
      </w:r>
    </w:p>
    <w:p>
      <w:pPr>
        <w:pStyle w:val="Heading2"/>
      </w:pPr>
      <w:r>
        <w:t xml:space="preserve">6.3 Tendencia estructural: solapamiento creciente de niveles</w:t>
      </w:r>
    </w:p>
    <w:p>
      <w:pPr>
        <w:spacing w:after="120" w:line="276"/>
      </w:pPr>
      <w:r>
        <w:rPr>
          <w:rFonts w:ascii="Arial" w:cs="Arial" w:eastAsia="Arial" w:hAnsi="Arial"/>
          <w:sz w:val="21"/>
          <w:szCs w:val="21"/>
        </w:rPr>
        <w:t xml:space="preserve">La proporción de EE que imparten básica y media a la vez no es marginal ni estable: crece de forma monótona en toda la serie. Esto refuerza que la ficha no puede tratar la matrícula total como cifra única.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Año</w:t>
            </w:r>
          </w:p>
        </w:tc>
        <w:tc>
          <w:tcPr>
            <w:tcW w:type="dxa" w:w="69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 EE con básica y media</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2016</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20,0%</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2017</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20,4%</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2018</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21,0%</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2019</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21,3%</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2020</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21,7%</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2021</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22,0%</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2022</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22,3%</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2023</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22,6%</w:t>
            </w:r>
          </w:p>
        </w:tc>
      </w:tr>
      <w:tr>
        <w:tc>
          <w:tcPr>
            <w:tcW w:type="dxa" w:w="24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2024</w:t>
            </w:r>
          </w:p>
        </w:tc>
        <w:tc>
          <w:tcPr>
            <w:tcW w:type="dxa" w:w="69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22,9%</w:t>
            </w:r>
          </w:p>
        </w:tc>
      </w:tr>
      <w:tr>
        <w:tc>
          <w:tcPr>
            <w:tcW w:type="dxa" w:w="24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2025</w:t>
            </w:r>
          </w:p>
        </w:tc>
        <w:tc>
          <w:tcPr>
            <w:tcW w:type="dxa" w:w="69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right"/>
            </w:pPr>
            <w:r>
              <w:rPr>
                <w:rFonts w:ascii="Arial" w:cs="Arial" w:eastAsia="Arial" w:hAnsi="Arial"/>
                <w:b w:val="false"/>
                <w:bCs w:val="false"/>
                <w:color w:val="1A1A1A"/>
                <w:sz w:val="18"/>
                <w:szCs w:val="18"/>
              </w:rPr>
              <w:t xml:space="preserve">23,3%</w:t>
            </w:r>
          </w:p>
        </w:tc>
      </w:tr>
    </w:tbl>
    <w:p>
      <w:pPr>
        <w:pStyle w:val="Heading2"/>
      </w:pPr>
      <w:r>
        <w:t xml:space="preserve">6.4 Caso de 7 registros 'no binario' en 2025</w:t>
      </w:r>
    </w:p>
    <w:p>
      <w:pPr>
        <w:spacing w:after="120" w:line="276"/>
      </w:pPr>
      <w:r>
        <w:rPr>
          <w:rFonts w:ascii="Arial" w:cs="Arial" w:eastAsia="Arial" w:hAnsi="Arial"/>
          <w:sz w:val="21"/>
          <w:szCs w:val="21"/>
        </w:rPr>
        <w:t xml:space="preserve">La glosa 2025 documenta la eliminación temporal de 7 casos con categoría de género 'no binario' (Ley N° 19.628). Irrelevante para conteos de establecimientos y matrícula por nivel; se deja constancia por trazabilidad. El total 2025 informado (3.541.840) ya descuenta esos casos.</w:t>
      </w:r>
    </w:p>
    <w:p>
      <w:pPr>
        <w:pStyle w:val="Heading1"/>
      </w:pPr>
      <w:r>
        <w:t xml:space="preserve">7. Recomendación de granularidad</w:t>
      </w:r>
    </w:p>
    <w:p>
      <w:pPr>
        <w:spacing w:after="120" w:line="276"/>
      </w:pPr>
      <w:r>
        <w:rPr>
          <w:rFonts w:ascii="Arial" w:cs="Arial" w:eastAsia="Arial" w:hAnsi="Arial"/>
          <w:sz w:val="21"/>
          <w:szCs w:val="21"/>
        </w:rPr>
        <w:t xml:space="preserve">Se evaluaron tres opciones de presentación de matrícula en la ficha del establecimiento: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Opción</w:t>
            </w:r>
          </w:p>
        </w:tc>
        <w:tc>
          <w:tcPr>
            <w:tcW w:type="dxa" w:w="55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Descripción</w:t>
            </w:r>
          </w:p>
        </w:tc>
        <w:tc>
          <w:tcPr>
            <w:tcW w:type="dxa" w:w="21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Veredicto</w:t>
            </w:r>
          </w:p>
        </w:tc>
      </w:tr>
      <w:tr>
        <w:tc>
          <w:tcPr>
            <w:tcW w:type="dxa" w:w="17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1 — Total</w:t>
            </w:r>
          </w:p>
        </w:tc>
        <w:tc>
          <w:tcPr>
            <w:tcW w:type="dxa" w:w="5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Una sola cifra de matrícula total del EE.</w:t>
            </w:r>
          </w:p>
        </w:tc>
        <w:tc>
          <w:tcPr>
            <w:tcW w:type="dxa" w:w="21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Descartada</w:t>
            </w:r>
          </w:p>
        </w:tc>
      </w:tr>
      <w:tr>
        <w:tc>
          <w:tcPr>
            <w:tcW w:type="dxa" w:w="17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 — Por nivel</w:t>
            </w:r>
          </w:p>
        </w:tc>
        <w:tc>
          <w:tcPr>
            <w:tcW w:type="dxa" w:w="55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Matrícula desglosada por nivel, sin total.</w:t>
            </w:r>
          </w:p>
        </w:tc>
        <w:tc>
          <w:tcPr>
            <w:tcW w:type="dxa" w:w="21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Insuficiente</w:t>
            </w:r>
          </w:p>
        </w:tc>
      </w:tr>
      <w:tr>
        <w:tc>
          <w:tcPr>
            <w:tcW w:type="dxa" w:w="17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3 — Nivel + total</w:t>
            </w:r>
          </w:p>
        </w:tc>
        <w:tc>
          <w:tcPr>
            <w:tcW w:type="dxa" w:w="55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Matrícula del nivel de la categoría, con el total del EE entre paréntesis.</w:t>
            </w:r>
          </w:p>
        </w:tc>
        <w:tc>
          <w:tcPr>
            <w:tcW w:type="dxa" w:w="21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Recomendada</w:t>
            </w:r>
          </w:p>
        </w:tc>
      </w:tr>
    </w:tbl>
    <w:p>
      <w:pPr>
        <w:pStyle w:val="Heading2"/>
      </w:pPr>
      <w:r>
        <w:t xml:space="preserve">7.1 Fundamento contra los datos</w:t>
      </w:r>
    </w:p>
    <w:p>
      <w:pPr>
        <w:pStyle w:val="ListParagraph"/>
        <w:numPr>
          <w:ilvl w:val="0"/>
          <w:numId w:val="2"/>
        </w:numPr>
        <w:spacing w:after="60"/>
      </w:pPr>
      <w:r>
        <w:rPr>
          <w:rFonts w:ascii="Arial" w:cs="Arial" w:eastAsia="Arial" w:hAnsi="Arial"/>
          <w:b/>
          <w:bCs/>
          <w:sz w:val="21"/>
          <w:szCs w:val="21"/>
        </w:rPr>
        <w:t xml:space="preserve">Opción 1 (descartada): </w:t>
      </w:r>
      <w:r>
        <w:rPr>
          <w:rFonts w:ascii="Arial" w:cs="Arial" w:eastAsia="Arial" w:hAnsi="Arial"/>
          <w:sz w:val="21"/>
          <w:szCs w:val="21"/>
        </w:rPr>
        <w:t xml:space="preserve">para el 23,3% de los EE en 2025 —y proporción creciente— una cifra única de matrícula total suma básica y media en un mismo número, violando el invariante del proyecto en la capa de presentación.</w:t>
      </w:r>
    </w:p>
    <w:p>
      <w:pPr>
        <w:pStyle w:val="ListParagraph"/>
        <w:numPr>
          <w:ilvl w:val="0"/>
          <w:numId w:val="2"/>
        </w:numPr>
        <w:spacing w:after="60"/>
      </w:pPr>
      <w:r>
        <w:rPr>
          <w:rFonts w:ascii="Arial" w:cs="Arial" w:eastAsia="Arial" w:hAnsi="Arial"/>
          <w:b/>
          <w:bCs/>
          <w:sz w:val="21"/>
          <w:szCs w:val="21"/>
        </w:rPr>
        <w:t xml:space="preserve">Opción 2 (insuficiente): </w:t>
      </w:r>
      <w:r>
        <w:rPr>
          <w:rFonts w:ascii="Arial" w:cs="Arial" w:eastAsia="Arial" w:hAnsi="Arial"/>
          <w:sz w:val="21"/>
          <w:szCs w:val="21"/>
        </w:rPr>
        <w:t xml:space="preserve">respeta el corte, pero pierde la referencia de tamaño del establecimiento, útil para lectura e interpretación de la categoría.</w:t>
      </w:r>
    </w:p>
    <w:p>
      <w:pPr>
        <w:pStyle w:val="ListParagraph"/>
        <w:numPr>
          <w:ilvl w:val="0"/>
          <w:numId w:val="2"/>
        </w:numPr>
        <w:spacing w:after="60"/>
      </w:pPr>
      <w:r>
        <w:rPr>
          <w:rFonts w:ascii="Arial" w:cs="Arial" w:eastAsia="Arial" w:hAnsi="Arial"/>
          <w:b/>
          <w:bCs/>
          <w:sz w:val="21"/>
          <w:szCs w:val="21"/>
        </w:rPr>
        <w:t xml:space="preserve">Opción 3 (recomendada): </w:t>
      </w:r>
      <w:r>
        <w:rPr>
          <w:rFonts w:ascii="Arial" w:cs="Arial" w:eastAsia="Arial" w:hAnsi="Arial"/>
          <w:sz w:val="21"/>
          <w:szCs w:val="21"/>
        </w:rPr>
        <w:t xml:space="preserve">la cifra de la categoría permanece monovalente (básica o media, nunca sumadas) y el total entre paréntesis aporta contexto de tamaño sin contaminar el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8663" w:sz="24"/>
              <w:bottom w:val="none"/>
              <w:right w:val="none"/>
            </w:tcBorders>
            <w:shd w:fill="F5F2EF" w:val="clear"/>
            <w:tcMar>
              <w:top w:type="dxa" w:w="120"/>
              <w:left w:type="dxa" w:w="200"/>
              <w:bottom w:type="dxa" w:w="120"/>
              <w:right w:type="dxa" w:w="160"/>
            </w:tcMar>
          </w:tcPr>
          <w:p>
            <w:pPr>
              <w:spacing w:after="60"/>
            </w:pPr>
            <w:r>
              <w:rPr>
                <w:rFonts w:ascii="Arial" w:cs="Arial" w:eastAsia="Arial" w:hAnsi="Arial"/>
                <w:b/>
                <w:bCs/>
                <w:color w:val="1A1A1A"/>
                <w:sz w:val="20"/>
                <w:szCs w:val="20"/>
              </w:rPr>
              <w:t xml:space="preserve">Recomendación</w:t>
            </w:r>
          </w:p>
          <w:p>
            <w:pPr>
              <w:spacing w:after="40"/>
            </w:pPr>
            <w:r>
              <w:rPr>
                <w:rFonts w:ascii="Arial" w:cs="Arial" w:eastAsia="Arial" w:hAnsi="Arial"/>
                <w:b/>
                <w:bCs/>
                <w:sz w:val="21"/>
                <w:szCs w:val="21"/>
              </w:rPr>
              <w:t xml:space="preserve">Opción 3 — matrícula del nivel de la categoría con el total del EE entre paréntesis</w:t>
            </w:r>
            <w:r>
              <w:rPr>
                <w:rFonts w:ascii="Arial" w:cs="Arial" w:eastAsia="Arial" w:hAnsi="Arial"/>
                <w:sz w:val="21"/>
                <w:szCs w:val="21"/>
              </w:rPr>
              <w:t xml:space="preserve">.</w:t>
            </w:r>
          </w:p>
          <w:p>
            <w:pPr>
              <w:spacing w:after="40"/>
            </w:pPr>
            <w:r>
              <w:rPr>
                <w:rFonts w:ascii="Arial" w:cs="Arial" w:eastAsia="Arial" w:hAnsi="Arial"/>
                <w:sz w:val="21"/>
                <w:szCs w:val="21"/>
              </w:rPr>
              <w:t xml:space="preserve">Es la única que preserva el invariante básica/media y, a la vez, entrega el tamaño del establecimiento como referencia.</w:t>
            </w:r>
          </w:p>
        </w:tc>
      </w:tr>
    </w:tbl>
    <w:p>
      <w:pPr>
        <w:pStyle w:val="Heading2"/>
      </w:pPr>
      <w:r>
        <w:t xml:space="preserve">7.2 Matiz de implementación</w:t>
      </w:r>
    </w:p>
    <w:p>
      <w:pPr>
        <w:spacing w:after="120" w:line="276"/>
      </w:pPr>
      <w:r>
        <w:rPr>
          <w:rFonts w:ascii="Arial" w:cs="Arial" w:eastAsia="Arial" w:hAnsi="Arial"/>
          <w:sz w:val="21"/>
          <w:szCs w:val="21"/>
        </w:rPr>
        <w:t xml:space="preserve">En 2025, </w:t>
      </w:r>
      <w:r>
        <w:rPr>
          <w:rFonts w:ascii="Arial" w:cs="Arial" w:eastAsia="Arial" w:hAnsi="Arial"/>
          <w:b/>
          <w:bCs/>
          <w:sz w:val="21"/>
          <w:szCs w:val="21"/>
        </w:rPr>
        <w:t xml:space="preserve">el 76,7% de los EE imparte un solo nivel</w:t>
      </w:r>
      <w:r>
        <w:rPr>
          <w:rFonts w:ascii="Arial" w:cs="Arial" w:eastAsia="Arial" w:hAnsi="Arial"/>
          <w:sz w:val="21"/>
          <w:szCs w:val="21"/>
        </w:rPr>
        <w:t xml:space="preserve"> (10.949 − 2.547 = 8.402 de nivel único entre los que tienen básica o media). Para ellos, el total entre paréntesis repetiría la cifra del nivel, generando ruido visual.</w:t>
      </w:r>
    </w:p>
    <w:p>
      <w:pPr>
        <w:spacing w:after="120" w:line="276"/>
      </w:pPr>
      <w:r>
        <w:rPr>
          <w:rFonts w:ascii="Arial" w:cs="Arial" w:eastAsia="Arial" w:hAnsi="Arial"/>
          <w:b/>
          <w:bCs/>
          <w:sz w:val="21"/>
          <w:szCs w:val="21"/>
        </w:rPr>
        <w:t xml:space="preserve">Propuesta: </w:t>
      </w:r>
      <w:r>
        <w:rPr>
          <w:rFonts w:ascii="Arial" w:cs="Arial" w:eastAsia="Arial" w:hAnsi="Arial"/>
          <w:sz w:val="21"/>
          <w:szCs w:val="21"/>
        </w:rPr>
        <w:t xml:space="preserve">mostrar el paréntesis de forma condicional, solo cuando el total del EE difiere de la matrícula del nivel de la categoría. Encaja con la preferencia de formato condicional inteligente y evita redundancia en la mayoría de las fichas.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A2746" w:sz="24"/>
              <w:bottom w:val="none"/>
              <w:right w:val="none"/>
            </w:tcBorders>
            <w:shd w:fill="EDEDED" w:val="clear"/>
            <w:tcMar>
              <w:top w:type="dxa" w:w="120"/>
              <w:left w:type="dxa" w:w="200"/>
              <w:bottom w:type="dxa" w:w="120"/>
              <w:right w:type="dxa" w:w="160"/>
            </w:tcMar>
          </w:tcPr>
          <w:p>
            <w:pPr>
              <w:spacing w:after="60"/>
            </w:pPr>
            <w:r>
              <w:rPr>
                <w:rFonts w:ascii="Arial" w:cs="Arial" w:eastAsia="Arial" w:hAnsi="Arial"/>
                <w:b/>
                <w:bCs/>
                <w:color w:val="1A1A1A"/>
                <w:sz w:val="20"/>
                <w:szCs w:val="20"/>
              </w:rPr>
              <w:t xml:space="preserve">Regla de presentación sugerida</w:t>
            </w:r>
          </w:p>
          <w:p>
            <w:pPr>
              <w:spacing w:after="40"/>
            </w:pPr>
            <w:r>
              <w:rPr>
                <w:rFonts w:ascii="Consolas" w:cs="Consolas" w:eastAsia="Consolas" w:hAnsi="Consolas"/>
                <w:color w:val="4A2746"/>
                <w:sz w:val="19"/>
                <w:szCs w:val="19"/>
              </w:rPr>
              <w:t xml:space="preserve">matricula_nivel</w:t>
            </w:r>
            <w:r>
              <w:rPr>
                <w:rFonts w:ascii="Arial" w:cs="Arial" w:eastAsia="Arial" w:hAnsi="Arial"/>
                <w:sz w:val="21"/>
                <w:szCs w:val="21"/>
              </w:rPr>
              <w:t xml:space="preserve">  si  </w:t>
            </w:r>
            <w:r>
              <w:rPr>
                <w:rFonts w:ascii="Consolas" w:cs="Consolas" w:eastAsia="Consolas" w:hAnsi="Consolas"/>
                <w:color w:val="4A2746"/>
                <w:sz w:val="19"/>
                <w:szCs w:val="19"/>
              </w:rPr>
              <w:t xml:space="preserve">total_ee == matricula_nivel</w:t>
            </w:r>
          </w:p>
          <w:p>
            <w:pPr>
              <w:spacing w:after="40"/>
            </w:pPr>
            <w:r>
              <w:rPr>
                <w:rFonts w:ascii="Consolas" w:cs="Consolas" w:eastAsia="Consolas" w:hAnsi="Consolas"/>
                <w:color w:val="4A2746"/>
                <w:sz w:val="19"/>
                <w:szCs w:val="19"/>
              </w:rPr>
              <w:t xml:space="preserve">matricula_nivel (total_ee)</w:t>
            </w:r>
            <w:r>
              <w:rPr>
                <w:rFonts w:ascii="Arial" w:cs="Arial" w:eastAsia="Arial" w:hAnsi="Arial"/>
                <w:sz w:val="21"/>
                <w:szCs w:val="21"/>
              </w:rPr>
              <w:t xml:space="preserve">  si  </w:t>
            </w:r>
            <w:r>
              <w:rPr>
                <w:rFonts w:ascii="Consolas" w:cs="Consolas" w:eastAsia="Consolas" w:hAnsi="Consolas"/>
                <w:color w:val="4A2746"/>
                <w:sz w:val="19"/>
                <w:szCs w:val="19"/>
              </w:rPr>
              <w:t xml:space="preserve">total_ee != matricula_nivel</w:t>
            </w:r>
          </w:p>
        </w:tc>
      </w:tr>
    </w:tbl>
    <w:p>
      <w:pPr>
        <w:pStyle w:val="Heading1"/>
      </w:pPr>
      <w:r>
        <w:t xml:space="preserve">8. Insumos para el motor de Categoría de Desempeño</w:t>
      </w:r>
    </w:p>
    <w:p>
      <w:pPr>
        <w:spacing w:after="120" w:line="276"/>
      </w:pPr>
      <w:r>
        <w:rPr>
          <w:rFonts w:ascii="Arial" w:cs="Arial" w:eastAsia="Arial" w:hAnsi="Arial"/>
          <w:sz w:val="21"/>
          <w:szCs w:val="21"/>
        </w:rPr>
        <w:t xml:space="preserve">Síntesis operativa que el proyecto principal puede tomar como punto de partida.</w:t>
      </w:r>
    </w:p>
    <w:p>
      <w:pPr>
        <w:pStyle w:val="Heading2"/>
      </w:pPr>
      <w:r>
        <w:t xml:space="preserve">8.1 Constantes de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062A0" w:sz="24"/>
              <w:bottom w:val="none"/>
              <w:right w:val="none"/>
            </w:tcBorders>
            <w:shd w:fill="EDEDED" w:val="clear"/>
            <w:tcMar>
              <w:top w:type="dxa" w:w="120"/>
              <w:left w:type="dxa" w:w="200"/>
              <w:bottom w:type="dxa" w:w="120"/>
              <w:right w:type="dxa" w:w="160"/>
            </w:tcMar>
          </w:tcPr>
          <w:p>
            <w:pPr>
              <w:spacing w:after="60"/>
            </w:pPr>
            <w:r>
              <w:rPr>
                <w:rFonts w:ascii="Arial" w:cs="Arial" w:eastAsia="Arial" w:hAnsi="Arial"/>
                <w:b/>
                <w:bCs/>
                <w:color w:val="1A1A1A"/>
                <w:sz w:val="20"/>
                <w:szCs w:val="20"/>
              </w:rPr>
              <w:t xml:space="preserve"/>
            </w:r>
          </w:p>
          <w:p>
            <w:pPr>
              <w:spacing w:after="40"/>
            </w:pPr>
            <w:r>
              <w:rPr>
                <w:rFonts w:ascii="Consolas" w:cs="Consolas" w:eastAsia="Consolas" w:hAnsi="Consolas"/>
                <w:color w:val="4A2746"/>
                <w:sz w:val="19"/>
                <w:szCs w:val="19"/>
              </w:rPr>
              <w:t xml:space="preserve">BASICA_ENSE2  &lt;- 2L</w:t>
            </w:r>
          </w:p>
          <w:p>
            <w:pPr>
              <w:spacing w:after="40"/>
            </w:pPr>
            <w:r>
              <w:rPr>
                <w:rFonts w:ascii="Consolas" w:cs="Consolas" w:eastAsia="Consolas" w:hAnsi="Consolas"/>
                <w:color w:val="4A2746"/>
                <w:sz w:val="19"/>
                <w:szCs w:val="19"/>
              </w:rPr>
              <w:t xml:space="preserve">MEDIA_ENSE2   &lt;- c(5L, 7L)</w:t>
            </w:r>
          </w:p>
          <w:p>
            <w:pPr>
              <w:spacing w:after="40"/>
            </w:pPr>
            <w:r>
              <w:rPr>
                <w:rFonts w:ascii="Consolas" w:cs="Consolas" w:eastAsia="Consolas" w:hAnsi="Consolas"/>
                <w:color w:val="4A2746"/>
                <w:sz w:val="19"/>
                <w:szCs w:val="19"/>
              </w:rPr>
              <w:t xml:space="preserve">COMUNAS_SLEP_CC &lt;- c(&lt;cod_com Viña, Concón, Quintero, Puchuncaví&gt;)</w:t>
            </w:r>
          </w:p>
        </w:tc>
      </w:tr>
    </w:tbl>
    <w:p>
      <w:pPr>
        <w:pStyle w:val="Heading2"/>
      </w:pPr>
      <w:r>
        <w:t xml:space="preserve">8.2 Secuencia de lectura recomendada por año</w:t>
      </w:r>
    </w:p>
    <w:p>
      <w:pPr>
        <w:pStyle w:val="ListParagraph"/>
        <w:numPr>
          <w:ilvl w:val="0"/>
          <w:numId w:val="3"/>
        </w:numPr>
        <w:spacing w:after="60"/>
      </w:pPr>
      <w:r>
        <w:rPr>
          <w:rFonts w:ascii="Arial" w:cs="Arial" w:eastAsia="Arial" w:hAnsi="Arial"/>
          <w:sz w:val="21"/>
          <w:szCs w:val="21"/>
        </w:rPr>
        <w:t xml:space="preserve">Leer el CSV del año con lectura perezosa (DuckDB o </w:t>
      </w:r>
      <w:r>
        <w:rPr>
          <w:rFonts w:ascii="Consolas" w:cs="Consolas" w:eastAsia="Consolas" w:hAnsi="Consolas"/>
          <w:color w:val="4A2746"/>
          <w:sz w:val="19"/>
          <w:szCs w:val="19"/>
        </w:rPr>
        <w:t xml:space="preserve">arrow</w:t>
      </w:r>
      <w:r>
        <w:rPr>
          <w:rFonts w:ascii="Arial" w:cs="Arial" w:eastAsia="Arial" w:hAnsi="Arial"/>
          <w:sz w:val="21"/>
          <w:szCs w:val="21"/>
        </w:rPr>
        <w:t xml:space="preserve">) filtrando solo columnas necesarias: </w:t>
      </w:r>
      <w:r>
        <w:rPr>
          <w:rFonts w:ascii="Consolas" w:cs="Consolas" w:eastAsia="Consolas" w:hAnsi="Consolas"/>
          <w:color w:val="4A2746"/>
          <w:sz w:val="19"/>
          <w:szCs w:val="19"/>
        </w:rPr>
        <w:t xml:space="preserve">RBD, COD_COM_RBD, COD_ENSE2, COD_GRADO, ESTADO_ESTAB, MRUN</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Restringir al universo SLEP CC por </w:t>
      </w:r>
      <w:r>
        <w:rPr>
          <w:rFonts w:ascii="Consolas" w:cs="Consolas" w:eastAsia="Consolas" w:hAnsi="Consolas"/>
          <w:color w:val="4A2746"/>
          <w:sz w:val="19"/>
          <w:szCs w:val="19"/>
        </w:rPr>
        <w:t xml:space="preserve">COD_COM_RBD %in% COMUNAS_SLEP_CC</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Para años ≥ 2018, filtrar </w:t>
      </w:r>
      <w:r>
        <w:rPr>
          <w:rFonts w:ascii="Consolas" w:cs="Consolas" w:eastAsia="Consolas" w:hAnsi="Consolas"/>
          <w:color w:val="4A2746"/>
          <w:sz w:val="19"/>
          <w:szCs w:val="19"/>
        </w:rPr>
        <w:t xml:space="preserve">ESTADO_ESTAB == 1</w:t>
      </w:r>
      <w:r>
        <w:rPr>
          <w:rFonts w:ascii="Arial" w:cs="Arial" w:eastAsia="Arial" w:hAnsi="Arial"/>
          <w:sz w:val="21"/>
          <w:szCs w:val="21"/>
        </w:rPr>
        <w:t xml:space="preserve">; para 2016–2017, usar el universo completo o derivar el estado.</w:t>
      </w:r>
    </w:p>
    <w:p>
      <w:pPr>
        <w:pStyle w:val="ListParagraph"/>
        <w:numPr>
          <w:ilvl w:val="0"/>
          <w:numId w:val="3"/>
        </w:numPr>
        <w:spacing w:after="60"/>
      </w:pPr>
      <w:r>
        <w:rPr>
          <w:rFonts w:ascii="Arial" w:cs="Arial" w:eastAsia="Arial" w:hAnsi="Arial"/>
          <w:sz w:val="21"/>
          <w:szCs w:val="21"/>
        </w:rPr>
        <w:t xml:space="preserve">Etiquetar nivel: </w:t>
      </w:r>
      <w:r>
        <w:rPr>
          <w:rFonts w:ascii="Consolas" w:cs="Consolas" w:eastAsia="Consolas" w:hAnsi="Consolas"/>
          <w:color w:val="4A2746"/>
          <w:sz w:val="19"/>
          <w:szCs w:val="19"/>
        </w:rPr>
        <w:t xml:space="preserve">nivel = case_when(COD_ENSE2 == 2 ~ "Básica", COD_ENSE2 %in% c(5,7) ~ "Media")</w:t>
      </w:r>
      <w:r>
        <w:rPr>
          <w:rFonts w:ascii="Arial" w:cs="Arial" w:eastAsia="Arial" w:hAnsi="Arial"/>
          <w:sz w:val="21"/>
          <w:szCs w:val="21"/>
        </w:rPr>
        <w:t xml:space="preserve"> y descartar el resto para el motor.</w:t>
      </w:r>
    </w:p>
    <w:p>
      <w:pPr>
        <w:pStyle w:val="ListParagraph"/>
        <w:numPr>
          <w:ilvl w:val="0"/>
          <w:numId w:val="3"/>
        </w:numPr>
        <w:spacing w:after="60"/>
      </w:pPr>
      <w:r>
        <w:rPr>
          <w:rFonts w:ascii="Arial" w:cs="Arial" w:eastAsia="Arial" w:hAnsi="Arial"/>
          <w:sz w:val="21"/>
          <w:szCs w:val="21"/>
        </w:rPr>
        <w:t xml:space="preserve">Agregar matrícula por </w:t>
      </w:r>
      <w:r>
        <w:rPr>
          <w:rFonts w:ascii="Consolas" w:cs="Consolas" w:eastAsia="Consolas" w:hAnsi="Consolas"/>
          <w:color w:val="4A2746"/>
          <w:sz w:val="19"/>
          <w:szCs w:val="19"/>
        </w:rPr>
        <w:t xml:space="preserve">RBD</w:t>
      </w:r>
      <w:r>
        <w:rPr>
          <w:rFonts w:ascii="Arial" w:cs="Arial" w:eastAsia="Arial" w:hAnsi="Arial"/>
          <w:sz w:val="21"/>
          <w:szCs w:val="21"/>
        </w:rPr>
        <w:t xml:space="preserve"> y </w:t>
      </w:r>
      <w:r>
        <w:rPr>
          <w:rFonts w:ascii="Consolas" w:cs="Consolas" w:eastAsia="Consolas" w:hAnsi="Consolas"/>
          <w:color w:val="4A2746"/>
          <w:sz w:val="19"/>
          <w:szCs w:val="19"/>
        </w:rPr>
        <w:t xml:space="preserve">nivel</w:t>
      </w:r>
      <w:r>
        <w:rPr>
          <w:rFonts w:ascii="Arial" w:cs="Arial" w:eastAsia="Arial" w:hAnsi="Arial"/>
          <w:sz w:val="21"/>
          <w:szCs w:val="21"/>
        </w:rPr>
        <w:t xml:space="preserve"> (conteo de </w:t>
      </w:r>
      <w:r>
        <w:rPr>
          <w:rFonts w:ascii="Consolas" w:cs="Consolas" w:eastAsia="Consolas" w:hAnsi="Consolas"/>
          <w:color w:val="4A2746"/>
          <w:sz w:val="19"/>
          <w:szCs w:val="19"/>
        </w:rPr>
        <w:t xml:space="preserve">MRUN</w:t>
      </w:r>
      <w:r>
        <w:rPr>
          <w:rFonts w:ascii="Arial" w:cs="Arial" w:eastAsia="Arial" w:hAnsi="Arial"/>
          <w:sz w:val="21"/>
          <w:szCs w:val="21"/>
        </w:rPr>
        <w:t xml:space="preserve">), manteniendo básica y media en filas separadas — nunca sumadas.</w:t>
      </w:r>
    </w:p>
    <w:p>
      <w:pPr>
        <w:pStyle w:val="Heading2"/>
      </w:pPr>
      <w:r>
        <w:t xml:space="preserve">8.3 Invariante a verificar en tests</w:t>
      </w:r>
    </w:p>
    <w:p>
      <w:pPr>
        <w:spacing w:after="120" w:line="276"/>
      </w:pPr>
      <w:r>
        <w:rPr>
          <w:rFonts w:ascii="Arial" w:cs="Arial" w:eastAsia="Arial" w:hAnsi="Arial"/>
          <w:sz w:val="21"/>
          <w:szCs w:val="21"/>
        </w:rPr>
        <w:t xml:space="preserve">Cualquier cifra agregada del motor debe poder rastrearse a un único valor de nivel. Un test mínimo: ninguna fila de salida con matrícula agregada debe combinar </w:t>
      </w:r>
      <w:r>
        <w:rPr>
          <w:rFonts w:ascii="Consolas" w:cs="Consolas" w:eastAsia="Consolas" w:hAnsi="Consolas"/>
          <w:color w:val="4A2746"/>
          <w:sz w:val="19"/>
          <w:szCs w:val="19"/>
        </w:rPr>
        <w:t xml:space="preserve">COD_ENSE2 == 2</w:t>
      </w:r>
      <w:r>
        <w:rPr>
          <w:rFonts w:ascii="Arial" w:cs="Arial" w:eastAsia="Arial" w:hAnsi="Arial"/>
          <w:sz w:val="21"/>
          <w:szCs w:val="21"/>
        </w:rPr>
        <w:t xml:space="preserve"> con </w:t>
      </w:r>
      <w:r>
        <w:rPr>
          <w:rFonts w:ascii="Consolas" w:cs="Consolas" w:eastAsia="Consolas" w:hAnsi="Consolas"/>
          <w:color w:val="4A2746"/>
          <w:sz w:val="19"/>
          <w:szCs w:val="19"/>
        </w:rPr>
        <w:t xml:space="preserve">COD_ENSE2 %in% c(5,7)</w:t>
      </w:r>
      <w:r>
        <w:rPr>
          <w:rFonts w:ascii="Arial" w:cs="Arial" w:eastAsia="Arial" w:hAnsi="Arial"/>
          <w:sz w:val="21"/>
          <w:szCs w:val="21"/>
        </w:rPr>
        <w:t xml:space="preserve">. Encaja con la futura infraestructura de </w:t>
      </w:r>
      <w:r>
        <w:rPr>
          <w:rFonts w:ascii="Consolas" w:cs="Consolas" w:eastAsia="Consolas" w:hAnsi="Consolas"/>
          <w:color w:val="4A2746"/>
          <w:sz w:val="19"/>
          <w:szCs w:val="19"/>
        </w:rPr>
        <w:t xml:space="preserve">testthat</w:t>
      </w:r>
      <w:r>
        <w:rPr>
          <w:rFonts w:ascii="Arial" w:cs="Arial" w:eastAsia="Arial" w:hAnsi="Arial"/>
          <w:sz w:val="21"/>
          <w:szCs w:val="21"/>
        </w:rPr>
        <w:t xml:space="preserve"> del proyecto.</w:t>
      </w:r>
    </w:p>
    <w:p>
      <w:pPr>
        <w:pStyle w:val="Heading1"/>
      </w:pPr>
      <w:r>
        <w:t xml:space="preserve">9. Limitaciones del escaneo</w:t>
      </w:r>
    </w:p>
    <w:p>
      <w:pPr>
        <w:pStyle w:val="ListParagraph"/>
        <w:numPr>
          <w:ilvl w:val="0"/>
          <w:numId w:val="2"/>
        </w:numPr>
        <w:spacing w:after="60"/>
      </w:pPr>
      <w:r>
        <w:rPr>
          <w:rFonts w:ascii="Arial" w:cs="Arial" w:eastAsia="Arial" w:hAnsi="Arial"/>
          <w:sz w:val="21"/>
          <w:szCs w:val="21"/>
        </w:rPr>
        <w:t xml:space="preserve">La inferencia de tipos usó muestra acotada (50.000 filas). Es fiable para las variables de corte (siempre pobladas), pero columnas intermitentes o muy vacías (p. ej. </w:t>
      </w:r>
      <w:r>
        <w:rPr>
          <w:rFonts w:ascii="Consolas" w:cs="Consolas" w:eastAsia="Consolas" w:hAnsi="Consolas"/>
          <w:color w:val="4A2746"/>
          <w:sz w:val="19"/>
          <w:szCs w:val="19"/>
        </w:rPr>
        <w:t xml:space="preserve">COD_MEN</w:t>
      </w:r>
      <w:r>
        <w:rPr>
          <w:rFonts w:ascii="Arial" w:cs="Arial" w:eastAsia="Arial" w:hAnsi="Arial"/>
          <w:sz w:val="21"/>
          <w:szCs w:val="21"/>
        </w:rPr>
        <w:t xml:space="preserve">) podrían requerir tipado explícito al consumirlas.</w:t>
      </w:r>
    </w:p>
    <w:p>
      <w:pPr>
        <w:pStyle w:val="ListParagraph"/>
        <w:numPr>
          <w:ilvl w:val="0"/>
          <w:numId w:val="2"/>
        </w:numPr>
        <w:spacing w:after="60"/>
      </w:pPr>
      <w:r>
        <w:rPr>
          <w:rFonts w:ascii="Arial" w:cs="Arial" w:eastAsia="Arial" w:hAnsi="Arial"/>
          <w:sz w:val="21"/>
          <w:szCs w:val="21"/>
        </w:rPr>
        <w:t xml:space="preserve">Los conteos por nivel cuentan establecimientos con al menos una matrícula en el nivel; no validan consistencia interna de </w:t>
      </w:r>
      <w:r>
        <w:rPr>
          <w:rFonts w:ascii="Consolas" w:cs="Consolas" w:eastAsia="Consolas" w:hAnsi="Consolas"/>
          <w:color w:val="4A2746"/>
          <w:sz w:val="19"/>
          <w:szCs w:val="19"/>
        </w:rPr>
        <w:t xml:space="preserve">COD_GRADO</w:t>
      </w:r>
      <w:r>
        <w:rPr>
          <w:rFonts w:ascii="Arial" w:cs="Arial" w:eastAsia="Arial" w:hAnsi="Arial"/>
          <w:sz w:val="21"/>
          <w:szCs w:val="21"/>
        </w:rPr>
        <w:t xml:space="preserve"> dentro de cada </w:t>
      </w:r>
      <w:r>
        <w:rPr>
          <w:rFonts w:ascii="Consolas" w:cs="Consolas" w:eastAsia="Consolas" w:hAnsi="Consolas"/>
          <w:color w:val="4A2746"/>
          <w:sz w:val="19"/>
          <w:szCs w:val="19"/>
        </w:rPr>
        <w:t xml:space="preserve">COD_ENSE</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El escaneo no verifica unicidad de </w:t>
      </w:r>
      <w:r>
        <w:rPr>
          <w:rFonts w:ascii="Consolas" w:cs="Consolas" w:eastAsia="Consolas" w:hAnsi="Consolas"/>
          <w:color w:val="4A2746"/>
          <w:sz w:val="19"/>
          <w:szCs w:val="19"/>
        </w:rPr>
        <w:t xml:space="preserve">MRUN</w:t>
      </w:r>
      <w:r>
        <w:rPr>
          <w:rFonts w:ascii="Arial" w:cs="Arial" w:eastAsia="Arial" w:hAnsi="Arial"/>
          <w:sz w:val="21"/>
          <w:szCs w:val="21"/>
        </w:rPr>
        <w:t xml:space="preserve"> (un estudiante podría aparecer en más de un RBD). Si la matrícula de la ficha debe ser por estudiante único, validar duplicados al construir el motor.</w:t>
      </w:r>
    </w:p>
    <w:p>
      <w:pPr>
        <w:pStyle w:val="ListParagraph"/>
        <w:numPr>
          <w:ilvl w:val="0"/>
          <w:numId w:val="2"/>
        </w:numPr>
        <w:spacing w:after="60"/>
      </w:pPr>
      <w:r>
        <w:rPr>
          <w:rFonts w:ascii="Arial" w:cs="Arial" w:eastAsia="Arial" w:hAnsi="Arial"/>
          <w:sz w:val="21"/>
          <w:szCs w:val="21"/>
        </w:rPr>
        <w:t xml:space="preserve">El dominio de </w:t>
      </w:r>
      <w:r>
        <w:rPr>
          <w:rFonts w:ascii="Consolas" w:cs="Consolas" w:eastAsia="Consolas" w:hAnsi="Consolas"/>
          <w:color w:val="4A2746"/>
          <w:sz w:val="19"/>
          <w:szCs w:val="19"/>
        </w:rPr>
        <w:t xml:space="preserve">COD_ENSE2</w:t>
      </w:r>
      <w:r>
        <w:rPr>
          <w:rFonts w:ascii="Arial" w:cs="Arial" w:eastAsia="Arial" w:hAnsi="Arial"/>
          <w:sz w:val="21"/>
          <w:szCs w:val="21"/>
        </w:rPr>
        <w:t xml:space="preserve"> se verificó en detalle solo para 2025; la glosa garantiza estabilidad del Anexo III en la serie, pero conviene una verificación rápida del dominio si se observan anomalías.</w:t>
      </w:r>
    </w:p>
    <w:p>
      <w:pPr>
        <w:pStyle w:val="Heading1"/>
      </w:pPr>
      <w:r>
        <w:t xml:space="preserve">10. Reproducibilidad</w:t>
      </w:r>
    </w:p>
    <w:p>
      <w:pPr>
        <w:spacing w:after="120" w:line="276"/>
      </w:pPr>
      <w:r>
        <w:rPr>
          <w:rFonts w:ascii="Arial" w:cs="Arial" w:eastAsia="Arial" w:hAnsi="Arial"/>
          <w:sz w:val="21"/>
          <w:szCs w:val="21"/>
        </w:rPr>
        <w:t xml:space="preserve">Scripts y entorno para regenerar este escaneo.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Componente</w:t>
            </w:r>
          </w:p>
        </w:tc>
        <w:tc>
          <w:tcPr>
            <w:tcW w:type="dxa" w:w="6760"/>
            <w:tcBorders>
              <w:top w:val="single" w:color="D9D9D9" w:sz="2"/>
              <w:left w:val="single" w:color="D9D9D9" w:sz="2"/>
              <w:bottom w:val="single" w:color="D9D9D9" w:sz="2"/>
              <w:right w:val="single" w:color="D9D9D9" w:sz="2"/>
            </w:tcBorders>
            <w:shd w:fill="0062A0" w:val="clear"/>
            <w:tcMar>
              <w:top w:type="dxa" w:w="60"/>
              <w:left w:type="dxa" w:w="110"/>
              <w:bottom w:type="dxa" w:w="60"/>
              <w:right w:type="dxa" w:w="110"/>
            </w:tcMar>
            <w:vAlign w:val="center"/>
          </w:tcPr>
          <w:p>
            <w:r>
              <w:rPr>
                <w:rFonts w:ascii="Arial" w:cs="Arial" w:eastAsia="Arial" w:hAnsi="Arial"/>
                <w:b/>
                <w:bCs/>
                <w:color w:val="FFFFFF"/>
                <w:sz w:val="18"/>
                <w:szCs w:val="18"/>
              </w:rPr>
              <w:t xml:space="preserve">Detalle</w:t>
            </w:r>
          </w:p>
        </w:tc>
      </w:tr>
      <w:tr>
        <w:tc>
          <w:tcPr>
            <w:tcW w:type="dxa" w:w="26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Entorno</w:t>
            </w:r>
          </w:p>
        </w:tc>
        <w:tc>
          <w:tcPr>
            <w:tcW w:type="dxa" w:w="6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R 4.5.2 (aarch64-apple-darwin20), Positron</w:t>
            </w:r>
          </w:p>
        </w:tc>
      </w:tr>
      <w:tr>
        <w:tc>
          <w:tcPr>
            <w:tcW w:type="dxa" w:w="26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Scripts</w:t>
            </w:r>
          </w:p>
        </w:tc>
        <w:tc>
          <w:tcPr>
            <w:tcW w:type="dxa" w:w="6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01_escanear_insumos.R · 02_escanear_csv_matricula.R (raíz del proyecto)</w:t>
            </w:r>
          </w:p>
        </w:tc>
      </w:tr>
      <w:tr>
        <w:tc>
          <w:tcPr>
            <w:tcW w:type="dxa" w:w="26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Dependencias</w:t>
            </w:r>
          </w:p>
        </w:tc>
        <w:tc>
          <w:tcPr>
            <w:tcW w:type="dxa" w:w="6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here, fs, dplyr, stringr, tibble, purrr, duckdb, DBI (autoinstaladas)</w:t>
            </w:r>
          </w:p>
        </w:tc>
      </w:tr>
      <w:tr>
        <w:tc>
          <w:tcPr>
            <w:tcW w:type="dxa" w:w="26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Motor de lectura</w:t>
            </w:r>
          </w:p>
        </w:tc>
        <w:tc>
          <w:tcPr>
            <w:tcW w:type="dxa" w:w="6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DuckDB read_csv_auto, sample_size = 50000, ignore_errors = true</w:t>
            </w:r>
          </w:p>
        </w:tc>
      </w:tr>
      <w:tr>
        <w:tc>
          <w:tcPr>
            <w:tcW w:type="dxa" w:w="260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Insumos</w:t>
            </w:r>
          </w:p>
        </w:tc>
        <w:tc>
          <w:tcPr>
            <w:tcW w:type="dxa" w:w="6760"/>
            <w:tcBorders>
              <w:top w:val="single" w:color="D9D9D9" w:sz="2"/>
              <w:left w:val="single" w:color="D9D9D9" w:sz="2"/>
              <w:bottom w:val="single" w:color="D9D9D9" w:sz="2"/>
              <w:right w:val="single" w:color="D9D9D9" w:sz="2"/>
            </w:tcBorders>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20_insumos/publicos/matricula_cem_2016..2025.csv</w:t>
            </w:r>
          </w:p>
        </w:tc>
      </w:tr>
      <w:tr>
        <w:tc>
          <w:tcPr>
            <w:tcW w:type="dxa" w:w="260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Fecha de corrida</w:t>
            </w:r>
          </w:p>
        </w:tc>
        <w:tc>
          <w:tcPr>
            <w:tcW w:type="dxa" w:w="6760"/>
            <w:tcBorders>
              <w:top w:val="single" w:color="D9D9D9" w:sz="2"/>
              <w:left w:val="single" w:color="D9D9D9" w:sz="2"/>
              <w:bottom w:val="single" w:color="D9D9D9" w:sz="2"/>
              <w:right w:val="single" w:color="D9D9D9" w:sz="2"/>
            </w:tcBorders>
            <w:shd w:fill="F5F2EF" w:val="clear"/>
            <w:tcMar>
              <w:top w:type="dxa" w:w="50"/>
              <w:left w:type="dxa" w:w="110"/>
              <w:bottom w:type="dxa" w:w="50"/>
              <w:right w:type="dxa" w:w="110"/>
            </w:tcMar>
            <w:vAlign w:val="center"/>
          </w:tcPr>
          <w:p>
            <w:pPr>
              <w:jc w:val="left"/>
            </w:pPr>
            <w:r>
              <w:rPr>
                <w:rFonts w:ascii="Arial" w:cs="Arial" w:eastAsia="Arial" w:hAnsi="Arial"/>
                <w:b w:val="false"/>
                <w:bCs w:val="false"/>
                <w:color w:val="1A1A1A"/>
                <w:sz w:val="18"/>
                <w:szCs w:val="18"/>
              </w:rPr>
              <w:t xml:space="preserve">13 de junio de 2026</w:t>
            </w:r>
          </w:p>
        </w:tc>
      </w:tr>
    </w:tbl>
    <w:p>
      <w:pPr>
        <w:spacing w:after="120" w:line="276"/>
      </w:pPr>
      <w:r>
        <w:rPr>
          <w:sz w:val="6"/>
          <w:szCs w:val="6"/>
        </w:rPr>
        <w:t xml:space="preserve"/>
      </w:r>
    </w:p>
    <w:p>
      <w:pPr>
        <w:spacing w:after="120" w:line="276"/>
      </w:pPr>
      <w:r>
        <w:rPr>
          <w:i/>
          <w:iCs/>
          <w:color w:val="747474"/>
          <w:sz w:val="19"/>
          <w:szCs w:val="19"/>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47474"/>
        <w:sz w:val="15"/>
        <w:szCs w:val="15"/>
      </w:rPr>
      <w:t xml:space="preserve">SLEP Costa Central · Área de Monitoreo y Seguimiento</w:t>
    </w:r>
    <w:r>
      <w:rPr>
        <w:rFonts w:ascii="Arial" w:cs="Arial" w:eastAsia="Arial" w:hAnsi="Arial"/>
        <w:color w:val="747474"/>
        <w:sz w:val="15"/>
        <w:szCs w:val="15"/>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A493" w:sz="4" w:space="4"/>
      </w:pBdr>
      <w:tabs>
        <w:tab w:val="right" w:pos="9360"/>
      </w:tabs>
    </w:pPr>
    <w:r>
      <w:rPr>
        <w:rFonts w:ascii="Arial" w:cs="Arial" w:eastAsia="Arial" w:hAnsi="Arial"/>
        <w:color w:val="747474"/>
        <w:sz w:val="16"/>
        <w:szCs w:val="16"/>
      </w:rPr>
      <w:t xml:space="preserve">slep_analisis_matricula</w:t>
    </w:r>
    <w:r>
      <w:rPr>
        <w:rFonts w:ascii="Arial" w:cs="Arial" w:eastAsia="Arial" w:hAnsi="Arial"/>
        <w:color w:val="747474"/>
        <w:sz w:val="16"/>
        <w:szCs w:val="16"/>
      </w:rPr>
      <w:t xml:space="preserve">	Informe de escaneo de insumos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062A0"/>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2A0" w:sz="8" w:space="4"/>
      </w:pBdr>
      <w:spacing w:after="160" w:before="320"/>
      <w:outlineLvl w:val="0"/>
    </w:pPr>
    <w:rPr>
      <w:rFonts w:ascii="Arial" w:cs="Arial" w:eastAsia="Arial" w:hAnsi="Arial"/>
      <w:b/>
      <w:bCs/>
      <w:color w:val="0062A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4A274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escaneo de insumos — slep_analisis_matricula</dc:title>
  <dc:creator>SLEP Costa Central — Área de Monitoreo</dc:creator>
  <cp:lastModifiedBy>Un-named</cp:lastModifiedBy>
  <cp:revision>1</cp:revision>
  <dcterms:created xsi:type="dcterms:W3CDTF">2026-06-13T14:58:59.234Z</dcterms:created>
  <dcterms:modified xsi:type="dcterms:W3CDTF">2026-06-13T14:58:59.234Z</dcterms:modified>
</cp:coreProperties>
</file>

<file path=docProps/custom.xml><?xml version="1.0" encoding="utf-8"?>
<Properties xmlns="http://schemas.openxmlformats.org/officeDocument/2006/custom-properties" xmlns:vt="http://schemas.openxmlformats.org/officeDocument/2006/docPropsVTypes"/>
</file>