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52B3" w14:textId="77777777" w:rsidR="008540B8" w:rsidRDefault="00000000">
      <w:pPr>
        <w:pStyle w:val="Title"/>
      </w:pPr>
      <w:r>
        <w:t>Major Examples: Federal Reserve and War Powers</w:t>
      </w:r>
    </w:p>
    <w:p w14:paraId="5B357478" w14:textId="77777777" w:rsidR="008540B8" w:rsidRDefault="00000000">
      <w:pPr>
        <w:pStyle w:val="Subtitle"/>
      </w:pPr>
      <w:r>
        <w:t>GOVT2305: Federal Government</w:t>
      </w:r>
    </w:p>
    <w:p w14:paraId="2CC1F876" w14:textId="77777777" w:rsidR="008540B8" w:rsidRDefault="00000000">
      <w:pPr>
        <w:pStyle w:val="Author"/>
      </w:pPr>
      <w:r>
        <w:t>Tom Hanna</w:t>
      </w:r>
    </w:p>
    <w:p w14:paraId="28658AAE" w14:textId="77777777" w:rsidR="008540B8" w:rsidRDefault="00000000">
      <w:pPr>
        <w:pStyle w:val="Date"/>
      </w:pPr>
      <w:r>
        <w:t>2026-07-28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39690953"/>
        <w:docPartObj>
          <w:docPartGallery w:val="Table of Contents"/>
          <w:docPartUnique/>
        </w:docPartObj>
      </w:sdtPr>
      <w:sdtContent>
        <w:p w14:paraId="5A85F772" w14:textId="77777777" w:rsidR="008540B8" w:rsidRDefault="00000000">
          <w:pPr>
            <w:pStyle w:val="TOCHeading"/>
          </w:pPr>
          <w:r>
            <w:t>Table of contents</w:t>
          </w:r>
        </w:p>
        <w:p w14:paraId="6072C021" w14:textId="77777777" w:rsidR="00AE5A7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901391" w:history="1">
            <w:r w:rsidR="00AE5A77" w:rsidRPr="00E22274">
              <w:rPr>
                <w:rStyle w:val="Hyperlink"/>
                <w:noProof/>
              </w:rPr>
              <w:t>1. Agenda and Announcements</w:t>
            </w:r>
            <w:r w:rsidR="00AE5A77">
              <w:rPr>
                <w:noProof/>
                <w:webHidden/>
              </w:rPr>
              <w:tab/>
            </w:r>
            <w:r w:rsidR="00AE5A77">
              <w:rPr>
                <w:noProof/>
                <w:webHidden/>
              </w:rPr>
              <w:fldChar w:fldCharType="begin"/>
            </w:r>
            <w:r w:rsidR="00AE5A77">
              <w:rPr>
                <w:noProof/>
                <w:webHidden/>
              </w:rPr>
              <w:instrText xml:space="preserve"> PAGEREF _Toc235901391 \h </w:instrText>
            </w:r>
            <w:r w:rsidR="00AE5A77">
              <w:rPr>
                <w:noProof/>
                <w:webHidden/>
              </w:rPr>
            </w:r>
            <w:r w:rsidR="00AE5A77">
              <w:rPr>
                <w:noProof/>
                <w:webHidden/>
              </w:rPr>
              <w:fldChar w:fldCharType="separate"/>
            </w:r>
            <w:r w:rsidR="00AE5A77">
              <w:rPr>
                <w:noProof/>
                <w:webHidden/>
              </w:rPr>
              <w:t>2</w:t>
            </w:r>
            <w:r w:rsidR="00AE5A77">
              <w:rPr>
                <w:noProof/>
                <w:webHidden/>
              </w:rPr>
              <w:fldChar w:fldCharType="end"/>
            </w:r>
          </w:hyperlink>
        </w:p>
        <w:p w14:paraId="2D41AB86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392" w:history="1">
            <w:r w:rsidRPr="00E22274">
              <w:rPr>
                <w:rStyle w:val="Hyperlink"/>
                <w:noProof/>
              </w:rPr>
              <w:t>1.1 Agenda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FEFB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393" w:history="1">
            <w:r w:rsidRPr="00E22274">
              <w:rPr>
                <w:rStyle w:val="Hyperlink"/>
                <w:noProof/>
              </w:rPr>
              <w:t>1.2 Upcoming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D213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394" w:history="1">
            <w:r w:rsidRPr="00E22274">
              <w:rPr>
                <w:rStyle w:val="Hyperlink"/>
                <w:noProof/>
              </w:rPr>
              <w:t>1.3 Finals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71C84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395" w:history="1">
            <w:r w:rsidRPr="00E22274">
              <w:rPr>
                <w:rStyle w:val="Hyperlink"/>
                <w:noProof/>
              </w:rPr>
              <w:t>1.4 Final Exam Rules (be on time!)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9FF0" w14:textId="77777777" w:rsidR="00AE5A77" w:rsidRDefault="00AE5A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01396" w:history="1">
            <w:r w:rsidRPr="00E22274">
              <w:rPr>
                <w:rStyle w:val="Hyperlink"/>
                <w:noProof/>
              </w:rPr>
              <w:t>2. The Federal Reserve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8590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397" w:history="1">
            <w:r w:rsidRPr="00E22274">
              <w:rPr>
                <w:rStyle w:val="Hyperlink"/>
                <w:noProof/>
              </w:rPr>
              <w:t>2.1 I. Core Functions of the Federal Reserve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DB2D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398" w:history="1">
            <w:r w:rsidRPr="00E22274">
              <w:rPr>
                <w:rStyle w:val="Hyperlink"/>
                <w:noProof/>
              </w:rPr>
              <w:t>2.1.1 Monetary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1C79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399" w:history="1">
            <w:r w:rsidRPr="00E22274">
              <w:rPr>
                <w:rStyle w:val="Hyperlink"/>
                <w:noProof/>
              </w:rPr>
              <w:t>2.1.2 Bank Supervision and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3209A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0" w:history="1">
            <w:r w:rsidRPr="00E22274">
              <w:rPr>
                <w:rStyle w:val="Hyperlink"/>
                <w:noProof/>
              </w:rPr>
              <w:t>2.1.3 Payment Systems and Financial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9B32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1" w:history="1">
            <w:r w:rsidRPr="00E22274">
              <w:rPr>
                <w:rStyle w:val="Hyperlink"/>
                <w:noProof/>
              </w:rPr>
              <w:t>2.1.4 Lender of Last Resort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B28A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2" w:history="1">
            <w:r w:rsidRPr="00E22274">
              <w:rPr>
                <w:rStyle w:val="Hyperlink"/>
                <w:noProof/>
              </w:rPr>
              <w:t>2.1.5 Fiscal Agent for the U.S. Treasury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4F1F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03" w:history="1">
            <w:r w:rsidRPr="00E22274">
              <w:rPr>
                <w:rStyle w:val="Hyperlink"/>
                <w:noProof/>
              </w:rPr>
              <w:t>2.2 II. Monetary Policy Independence —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A1CD3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04" w:history="1">
            <w:r w:rsidRPr="00E22274">
              <w:rPr>
                <w:rStyle w:val="Hyperlink"/>
                <w:noProof/>
              </w:rPr>
              <w:t>2.3 III. Addressing Major Conspiracy Theories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85D9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5" w:history="1">
            <w:r w:rsidRPr="00E22274">
              <w:rPr>
                <w:rStyle w:val="Hyperlink"/>
                <w:noProof/>
              </w:rPr>
              <w:t>2.3.1 Theory 1: “Private bank owned by bankers / foreign elites / Rothschilds for private profit”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9C57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6" w:history="1">
            <w:r w:rsidRPr="00E22274">
              <w:rPr>
                <w:rStyle w:val="Hyperlink"/>
                <w:noProof/>
              </w:rPr>
              <w:t>2.3.2 Theory 2: The “Audit the Fed” Conspiracy Theory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98C86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07" w:history="1">
            <w:r w:rsidRPr="00E22274">
              <w:rPr>
                <w:rStyle w:val="Hyperlink"/>
                <w:noProof/>
              </w:rPr>
              <w:t>2.3.3 Theory 3: “Created in bankers’ conspiracy (Jekyll Island) to engineer inflation / boom-bust cycles”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BF22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08" w:history="1">
            <w:r w:rsidRPr="00E22274">
              <w:rPr>
                <w:rStyle w:val="Hyperlink"/>
                <w:noProof/>
              </w:rPr>
              <w:t>2.4 IV. Closing Bridge to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35A5" w14:textId="77777777" w:rsidR="00AE5A77" w:rsidRDefault="00AE5A7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901409" w:history="1">
            <w:r w:rsidRPr="00E22274">
              <w:rPr>
                <w:rStyle w:val="Hyperlink"/>
                <w:noProof/>
              </w:rPr>
              <w:t>3. War Powers in Recent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3E0EB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10" w:history="1">
            <w:r w:rsidRPr="00E22274">
              <w:rPr>
                <w:rStyle w:val="Hyperlink"/>
                <w:noProof/>
              </w:rPr>
              <w:t>3.1 I. Opening 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87961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11" w:history="1">
            <w:r w:rsidRPr="00E22274">
              <w:rPr>
                <w:rStyle w:val="Hyperlink"/>
                <w:noProof/>
              </w:rPr>
              <w:t>3.2 II. Case Study 1: Venezuela Operation (January 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4832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2" w:history="1">
            <w:r w:rsidRPr="00E22274">
              <w:rPr>
                <w:rStyle w:val="Hyperlink"/>
                <w:noProof/>
              </w:rPr>
              <w:t>3.2.1 What happened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F645B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3" w:history="1">
            <w:r w:rsidRPr="00E22274">
              <w:rPr>
                <w:rStyle w:val="Hyperlink"/>
                <w:noProof/>
              </w:rPr>
              <w:t>3.2.2 Administration framing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9C7C1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4" w:history="1">
            <w:r w:rsidRPr="00E22274">
              <w:rPr>
                <w:rStyle w:val="Hyperlink"/>
                <w:noProof/>
              </w:rPr>
              <w:t>3.2.3 Precedent: Operation Just Cause (Panama, Dec 1989)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2902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5" w:history="1">
            <w:r w:rsidRPr="00E22274">
              <w:rPr>
                <w:rStyle w:val="Hyperlink"/>
                <w:noProof/>
              </w:rPr>
              <w:t>3.2.4 War Powers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E8CC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6" w:history="1">
            <w:r w:rsidRPr="00E22274">
              <w:rPr>
                <w:rStyle w:val="Hyperlink"/>
                <w:noProof/>
              </w:rPr>
              <w:t>3.2.5 Teaching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5C75A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17" w:history="1">
            <w:r w:rsidRPr="00E22274">
              <w:rPr>
                <w:rStyle w:val="Hyperlink"/>
                <w:noProof/>
              </w:rPr>
              <w:t>3.3 III. Case Study 2: Iran Conflict (February 2026–present)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C19B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8" w:history="1">
            <w:r w:rsidRPr="00E22274">
              <w:rPr>
                <w:rStyle w:val="Hyperlink"/>
                <w:noProof/>
              </w:rPr>
              <w:t>3.3.1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1F18" w14:textId="77777777" w:rsidR="00AE5A77" w:rsidRDefault="00AE5A7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901419" w:history="1">
            <w:r w:rsidRPr="00E22274">
              <w:rPr>
                <w:rStyle w:val="Hyperlink"/>
                <w:noProof/>
              </w:rPr>
              <w:t>3.3.2 Core disputes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8FA5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20" w:history="1">
            <w:r w:rsidRPr="00E22274">
              <w:rPr>
                <w:rStyle w:val="Hyperlink"/>
                <w:noProof/>
              </w:rPr>
              <w:t>3.4 IV. Broader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820F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21" w:history="1">
            <w:r w:rsidRPr="00E22274">
              <w:rPr>
                <w:rStyle w:val="Hyperlink"/>
                <w:noProof/>
              </w:rPr>
              <w:t>3.5 V. Bridge to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6079" w14:textId="77777777" w:rsidR="00AE5A77" w:rsidRDefault="00AE5A7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901422" w:history="1">
            <w:r w:rsidRPr="00E22274">
              <w:rPr>
                <w:rStyle w:val="Hyperlink"/>
                <w:noProof/>
              </w:rPr>
              <w:t>3.6 Authorship and 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0F8DF" w14:textId="77777777" w:rsidR="008540B8" w:rsidRDefault="00000000">
          <w:r>
            <w:fldChar w:fldCharType="end"/>
          </w:r>
        </w:p>
      </w:sdtContent>
    </w:sdt>
    <w:p w14:paraId="74A8409A" w14:textId="77777777" w:rsidR="008540B8" w:rsidRDefault="00000000">
      <w:pPr>
        <w:pStyle w:val="Heading1"/>
      </w:pPr>
      <w:bookmarkStart w:id="0" w:name="agenda-and-announcements"/>
      <w:bookmarkStart w:id="1" w:name="_Toc235901391"/>
      <w:r>
        <w:t>1. Agenda and Announcements</w:t>
      </w:r>
      <w:bookmarkEnd w:id="1"/>
    </w:p>
    <w:p w14:paraId="75C3399F" w14:textId="77777777" w:rsidR="008540B8" w:rsidRDefault="00000000">
      <w:pPr>
        <w:pStyle w:val="Heading2"/>
      </w:pPr>
      <w:bookmarkStart w:id="2" w:name="agenda-today"/>
      <w:bookmarkStart w:id="3" w:name="_Toc235901392"/>
      <w:r>
        <w:t>1.1 Agenda Today</w:t>
      </w:r>
      <w:bookmarkEnd w:id="3"/>
    </w:p>
    <w:p w14:paraId="5D867555" w14:textId="77777777" w:rsidR="008540B8" w:rsidRDefault="00000000">
      <w:pPr>
        <w:numPr>
          <w:ilvl w:val="0"/>
          <w:numId w:val="2"/>
        </w:numPr>
      </w:pPr>
      <w:r>
        <w:t>Part I: The Federal Reserve - fact and fiction</w:t>
      </w:r>
    </w:p>
    <w:p w14:paraId="0A501F5D" w14:textId="77777777" w:rsidR="008540B8" w:rsidRDefault="00000000">
      <w:pPr>
        <w:numPr>
          <w:ilvl w:val="0"/>
          <w:numId w:val="2"/>
        </w:numPr>
      </w:pPr>
      <w:r>
        <w:t>Part II: War Powers</w:t>
      </w:r>
    </w:p>
    <w:p w14:paraId="3ECFF253" w14:textId="77777777" w:rsidR="008540B8" w:rsidRDefault="00000000">
      <w:pPr>
        <w:numPr>
          <w:ilvl w:val="0"/>
          <w:numId w:val="2"/>
        </w:numPr>
      </w:pPr>
      <w:r>
        <w:t>Both parts will be a mix of lecture, questions, and discussion</w:t>
      </w:r>
    </w:p>
    <w:p w14:paraId="4A903531" w14:textId="77777777" w:rsidR="008540B8" w:rsidRDefault="00000000">
      <w:pPr>
        <w:pStyle w:val="Heading2"/>
      </w:pPr>
      <w:bookmarkStart w:id="4" w:name="upcoming-dates"/>
      <w:bookmarkStart w:id="5" w:name="_Toc235901393"/>
      <w:bookmarkEnd w:id="2"/>
      <w:r>
        <w:t>1.2 Upcoming Dates</w:t>
      </w:r>
      <w:bookmarkEnd w:id="5"/>
    </w:p>
    <w:p w14:paraId="195566E1" w14:textId="77777777" w:rsidR="008540B8" w:rsidRDefault="00000000">
      <w:pPr>
        <w:numPr>
          <w:ilvl w:val="0"/>
          <w:numId w:val="3"/>
        </w:numPr>
      </w:pPr>
      <w:r>
        <w:t>Semester Drawing to a close</w:t>
      </w:r>
    </w:p>
    <w:p w14:paraId="7C58838D" w14:textId="77777777" w:rsidR="008540B8" w:rsidRDefault="00000000">
      <w:pPr>
        <w:numPr>
          <w:ilvl w:val="0"/>
          <w:numId w:val="3"/>
        </w:numPr>
      </w:pPr>
      <w:r>
        <w:t>Module 3 Quiz August 3</w:t>
      </w:r>
    </w:p>
    <w:p w14:paraId="6ABBB2CE" w14:textId="77777777" w:rsidR="008540B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Study Guide due Friday</w:t>
      </w:r>
      <w:r>
        <w:br/>
      </w:r>
      <w:r>
        <w:rPr>
          <w:rStyle w:val="VerbatimChar"/>
        </w:rPr>
        <w:t xml:space="preserve">  - Journals Due Monday</w:t>
      </w:r>
      <w:r>
        <w:br/>
      </w:r>
      <w:r>
        <w:rPr>
          <w:rStyle w:val="VerbatimChar"/>
        </w:rPr>
        <w:t xml:space="preserve">  - Connect Due Monday</w:t>
      </w:r>
    </w:p>
    <w:p w14:paraId="3DC768F8" w14:textId="77777777" w:rsidR="008540B8" w:rsidRDefault="00000000">
      <w:pPr>
        <w:numPr>
          <w:ilvl w:val="0"/>
          <w:numId w:val="3"/>
        </w:numPr>
      </w:pPr>
      <w:r>
        <w:t>Module 4 Quiz August 4</w:t>
      </w:r>
    </w:p>
    <w:p w14:paraId="2612CDA8" w14:textId="77777777" w:rsidR="008540B8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Everything for Module 4 due Tuesday</w:t>
      </w:r>
    </w:p>
    <w:p w14:paraId="3A687E86" w14:textId="77777777" w:rsidR="008540B8" w:rsidRDefault="00000000">
      <w:pPr>
        <w:numPr>
          <w:ilvl w:val="0"/>
          <w:numId w:val="3"/>
        </w:numPr>
      </w:pPr>
      <w:r>
        <w:t>All late work due August 6</w:t>
      </w:r>
    </w:p>
    <w:p w14:paraId="55CAA203" w14:textId="77777777" w:rsidR="008540B8" w:rsidRDefault="00000000">
      <w:pPr>
        <w:numPr>
          <w:ilvl w:val="0"/>
          <w:numId w:val="3"/>
        </w:numPr>
      </w:pPr>
      <w:r>
        <w:t>Finals - August 5 and 6 per HCC schedule</w:t>
      </w:r>
    </w:p>
    <w:p w14:paraId="59B623EE" w14:textId="77777777" w:rsidR="008540B8" w:rsidRDefault="00000000">
      <w:pPr>
        <w:pStyle w:val="Heading2"/>
      </w:pPr>
      <w:bookmarkStart w:id="6" w:name="finals-schedule"/>
      <w:bookmarkStart w:id="7" w:name="_Toc235901394"/>
      <w:bookmarkEnd w:id="4"/>
      <w:r>
        <w:t>1.3 Finals Schedule</w:t>
      </w:r>
      <w:bookmarkEnd w:id="7"/>
    </w:p>
    <w:p w14:paraId="3B8D4F4E" w14:textId="77777777" w:rsidR="008540B8" w:rsidRDefault="00000000">
      <w:pPr>
        <w:numPr>
          <w:ilvl w:val="0"/>
          <w:numId w:val="4"/>
        </w:numPr>
      </w:pPr>
      <w:r>
        <w:t>Monday-Tuesday 8 AM class: August 5, 7 AM — GRRRRRRR!</w:t>
      </w:r>
    </w:p>
    <w:p w14:paraId="3728481E" w14:textId="77777777" w:rsidR="008540B8" w:rsidRDefault="00000000">
      <w:pPr>
        <w:numPr>
          <w:ilvl w:val="0"/>
          <w:numId w:val="4"/>
        </w:numPr>
      </w:pPr>
      <w:r>
        <w:t>Monday-Tuesday 10:30 AM class: August 6, 9 AM</w:t>
      </w:r>
    </w:p>
    <w:p w14:paraId="1F636624" w14:textId="77777777" w:rsidR="008540B8" w:rsidRDefault="00000000">
      <w:pPr>
        <w:numPr>
          <w:ilvl w:val="0"/>
          <w:numId w:val="4"/>
        </w:numPr>
      </w:pPr>
      <w:r>
        <w:lastRenderedPageBreak/>
        <w:t>Monday-Tuesday 1 PM class: August 6, 1 PM</w:t>
      </w:r>
    </w:p>
    <w:p w14:paraId="4352323E" w14:textId="77777777" w:rsidR="008540B8" w:rsidRDefault="00000000">
      <w:pPr>
        <w:pStyle w:val="Heading2"/>
      </w:pPr>
      <w:bookmarkStart w:id="8" w:name="final-exam-rules-be-on-time"/>
      <w:bookmarkStart w:id="9" w:name="_Toc235901395"/>
      <w:bookmarkEnd w:id="6"/>
      <w:r>
        <w:t>1.4 Final Exam Rules (be on time!)</w:t>
      </w:r>
      <w:bookmarkEnd w:id="9"/>
    </w:p>
    <w:p w14:paraId="435E5315" w14:textId="77777777" w:rsidR="008540B8" w:rsidRDefault="00000000">
      <w:pPr>
        <w:pStyle w:val="Compact"/>
        <w:numPr>
          <w:ilvl w:val="0"/>
          <w:numId w:val="5"/>
        </w:numPr>
      </w:pPr>
      <w:r>
        <w:t>If no one is here within 10 minutes of start time, I will leave</w:t>
      </w:r>
    </w:p>
    <w:p w14:paraId="14A62F50" w14:textId="77777777" w:rsidR="008540B8" w:rsidRDefault="00000000">
      <w:pPr>
        <w:pStyle w:val="Compact"/>
        <w:numPr>
          <w:ilvl w:val="0"/>
          <w:numId w:val="5"/>
        </w:numPr>
      </w:pPr>
      <w:r>
        <w:t>Once the first student finishes, no one else will be allowed to start the exam</w:t>
      </w:r>
    </w:p>
    <w:p w14:paraId="4671CC01" w14:textId="77777777" w:rsidR="008540B8" w:rsidRDefault="00000000">
      <w:pPr>
        <w:pStyle w:val="Compact"/>
        <w:numPr>
          <w:ilvl w:val="0"/>
          <w:numId w:val="5"/>
        </w:numPr>
      </w:pPr>
      <w:r>
        <w:t>The time limit will end after 1 hour 50 minutes to allow the next class to enter</w:t>
      </w:r>
    </w:p>
    <w:p w14:paraId="16AC2832" w14:textId="77777777" w:rsidR="008540B8" w:rsidRDefault="00000000">
      <w:pPr>
        <w:pStyle w:val="Compact"/>
        <w:numPr>
          <w:ilvl w:val="0"/>
          <w:numId w:val="5"/>
        </w:numPr>
      </w:pPr>
      <w:r>
        <w:t>There will be sufficient time for accommodations for people who arrive on time - it is your responsibility to do so</w:t>
      </w:r>
    </w:p>
    <w:p w14:paraId="658EB3DE" w14:textId="77777777" w:rsidR="008540B8" w:rsidRDefault="00000000">
      <w:pPr>
        <w:pStyle w:val="Heading1"/>
      </w:pPr>
      <w:bookmarkStart w:id="10" w:name="the-federal-reserve-system"/>
      <w:bookmarkStart w:id="11" w:name="_Toc235901396"/>
      <w:bookmarkEnd w:id="0"/>
      <w:bookmarkEnd w:id="8"/>
      <w:r>
        <w:t>2. The Federal Reserve System</w:t>
      </w:r>
      <w:bookmarkEnd w:id="11"/>
    </w:p>
    <w:p w14:paraId="2E974436" w14:textId="77777777" w:rsidR="008540B8" w:rsidRDefault="00000000">
      <w:pPr>
        <w:pStyle w:val="Heading2"/>
      </w:pPr>
      <w:bookmarkStart w:id="12" w:name="i.-core-functions-of-the-federal-reserve"/>
      <w:bookmarkStart w:id="13" w:name="_Toc235901397"/>
      <w:r>
        <w:t>2.1 I. Core Functions of the Federal Reserve</w:t>
      </w:r>
      <w:bookmarkEnd w:id="13"/>
    </w:p>
    <w:p w14:paraId="7C20890E" w14:textId="77777777" w:rsidR="008540B8" w:rsidRDefault="00000000">
      <w:pPr>
        <w:pStyle w:val="Heading3"/>
      </w:pPr>
      <w:bookmarkStart w:id="14" w:name="monetary-policy"/>
      <w:bookmarkStart w:id="15" w:name="_Toc235901398"/>
      <w:r>
        <w:t>2.1.1 Monetary Policy</w:t>
      </w:r>
      <w:bookmarkEnd w:id="15"/>
    </w:p>
    <w:p w14:paraId="0736DC32" w14:textId="77777777" w:rsidR="008540B8" w:rsidRDefault="00000000">
      <w:pPr>
        <w:pStyle w:val="Compact"/>
        <w:numPr>
          <w:ilvl w:val="0"/>
          <w:numId w:val="6"/>
        </w:numPr>
      </w:pPr>
      <w:r>
        <w:t>FOMC sets target range for federal funds rate</w:t>
      </w:r>
    </w:p>
    <w:p w14:paraId="5EAA1240" w14:textId="77777777" w:rsidR="008540B8" w:rsidRDefault="00000000">
      <w:pPr>
        <w:pStyle w:val="Compact"/>
        <w:numPr>
          <w:ilvl w:val="0"/>
          <w:numId w:val="6"/>
        </w:numPr>
      </w:pPr>
      <w:r>
        <w:t>Influences rate via interest on reserves, ON RRP, open market operations</w:t>
      </w:r>
    </w:p>
    <w:p w14:paraId="3D8B01E8" w14:textId="77777777" w:rsidR="008540B8" w:rsidRDefault="00000000">
      <w:pPr>
        <w:pStyle w:val="Compact"/>
        <w:numPr>
          <w:ilvl w:val="0"/>
          <w:numId w:val="6"/>
        </w:numPr>
      </w:pPr>
      <w:r>
        <w:t>Dual mandate: maximum employment + stable prices</w:t>
      </w:r>
    </w:p>
    <w:p w14:paraId="18D50743" w14:textId="77777777" w:rsidR="008540B8" w:rsidRDefault="00000000">
      <w:pPr>
        <w:pStyle w:val="Compact"/>
        <w:numPr>
          <w:ilvl w:val="0"/>
          <w:numId w:val="6"/>
        </w:numPr>
      </w:pPr>
      <w:r>
        <w:t>Discount rate set directly by Fed (collateralized discount window lending)</w:t>
      </w:r>
    </w:p>
    <w:p w14:paraId="3F8450FC" w14:textId="77777777" w:rsidR="008540B8" w:rsidRDefault="00000000">
      <w:pPr>
        <w:pStyle w:val="Heading3"/>
      </w:pPr>
      <w:bookmarkStart w:id="16" w:name="bank-supervision-and-regulation"/>
      <w:bookmarkStart w:id="17" w:name="_Toc235901399"/>
      <w:bookmarkEnd w:id="14"/>
      <w:r>
        <w:t>2.1.2 Bank Supervision and Regulation</w:t>
      </w:r>
      <w:bookmarkEnd w:id="17"/>
    </w:p>
    <w:p w14:paraId="52239D80" w14:textId="77777777" w:rsidR="008540B8" w:rsidRDefault="00000000">
      <w:pPr>
        <w:pStyle w:val="Compact"/>
        <w:numPr>
          <w:ilvl w:val="0"/>
          <w:numId w:val="7"/>
        </w:numPr>
      </w:pPr>
      <w:r>
        <w:t>Oversees bank holding companies and state member banks</w:t>
      </w:r>
    </w:p>
    <w:p w14:paraId="3B5E1C0E" w14:textId="77777777" w:rsidR="008540B8" w:rsidRDefault="00000000">
      <w:pPr>
        <w:pStyle w:val="Compact"/>
        <w:numPr>
          <w:ilvl w:val="0"/>
          <w:numId w:val="7"/>
        </w:numPr>
      </w:pPr>
      <w:r>
        <w:t>Shares landscape with OCC, FDIC, CFPB, and state regulators</w:t>
      </w:r>
    </w:p>
    <w:p w14:paraId="246715C9" w14:textId="77777777" w:rsidR="008540B8" w:rsidRDefault="00000000">
      <w:pPr>
        <w:pStyle w:val="Heading3"/>
      </w:pPr>
      <w:bookmarkStart w:id="18" w:name="payment-systems-and-financial-services"/>
      <w:bookmarkStart w:id="19" w:name="_Toc235901400"/>
      <w:bookmarkEnd w:id="16"/>
      <w:r>
        <w:t>2.1.3 Payment Systems and Financial Services</w:t>
      </w:r>
      <w:bookmarkEnd w:id="19"/>
    </w:p>
    <w:p w14:paraId="21BB8B8D" w14:textId="77777777" w:rsidR="008540B8" w:rsidRDefault="00000000">
      <w:pPr>
        <w:pStyle w:val="Compact"/>
        <w:numPr>
          <w:ilvl w:val="0"/>
          <w:numId w:val="8"/>
        </w:numPr>
      </w:pPr>
      <w:r>
        <w:t>Historical check clearing; now Fedwire, FedNow, other settlement systems</w:t>
      </w:r>
    </w:p>
    <w:p w14:paraId="32E5574C" w14:textId="77777777" w:rsidR="008540B8" w:rsidRDefault="00000000">
      <w:pPr>
        <w:pStyle w:val="Compact"/>
        <w:numPr>
          <w:ilvl w:val="0"/>
          <w:numId w:val="8"/>
        </w:numPr>
      </w:pPr>
      <w:r>
        <w:t>Critical payment-system infrastructure</w:t>
      </w:r>
    </w:p>
    <w:p w14:paraId="2352C57E" w14:textId="77777777" w:rsidR="008540B8" w:rsidRDefault="00000000">
      <w:pPr>
        <w:pStyle w:val="Heading3"/>
      </w:pPr>
      <w:bookmarkStart w:id="20" w:name="lender-of-last-resort"/>
      <w:bookmarkStart w:id="21" w:name="_Toc235901401"/>
      <w:bookmarkEnd w:id="18"/>
      <w:r>
        <w:t>2.1.4 Lender of Last Resort</w:t>
      </w:r>
      <w:bookmarkEnd w:id="21"/>
    </w:p>
    <w:p w14:paraId="396F462B" w14:textId="77777777" w:rsidR="008540B8" w:rsidRDefault="00000000">
      <w:pPr>
        <w:pStyle w:val="Compact"/>
        <w:numPr>
          <w:ilvl w:val="0"/>
          <w:numId w:val="9"/>
        </w:numPr>
      </w:pPr>
      <w:r>
        <w:t xml:space="preserve">Discount window: short-term </w:t>
      </w:r>
      <w:r>
        <w:rPr>
          <w:i/>
          <w:iCs/>
        </w:rPr>
        <w:t>collateralized</w:t>
      </w:r>
      <w:r>
        <w:t xml:space="preserve"> liquidity</w:t>
      </w:r>
    </w:p>
    <w:p w14:paraId="7CE3BFD3" w14:textId="77777777" w:rsidR="008540B8" w:rsidRDefault="00000000">
      <w:pPr>
        <w:pStyle w:val="Compact"/>
        <w:numPr>
          <w:ilvl w:val="0"/>
          <w:numId w:val="9"/>
        </w:numPr>
      </w:pPr>
      <w:r>
        <w:t>Collateral always required (securities + loans)</w:t>
      </w:r>
    </w:p>
    <w:p w14:paraId="48430A8C" w14:textId="77777777" w:rsidR="008540B8" w:rsidRDefault="00000000">
      <w:pPr>
        <w:pStyle w:val="Compact"/>
        <w:numPr>
          <w:ilvl w:val="0"/>
          <w:numId w:val="9"/>
        </w:numPr>
      </w:pPr>
      <w:r>
        <w:t>Expanded in crises (2008, 2020); never eliminated</w:t>
      </w:r>
    </w:p>
    <w:p w14:paraId="4EF8714E" w14:textId="77777777" w:rsidR="008540B8" w:rsidRDefault="00000000">
      <w:pPr>
        <w:pStyle w:val="Heading3"/>
      </w:pPr>
      <w:bookmarkStart w:id="22" w:name="fiscal-agent-for-the-u.s.-treasury"/>
      <w:bookmarkStart w:id="23" w:name="_Toc235901402"/>
      <w:bookmarkEnd w:id="20"/>
      <w:r>
        <w:t>2.1.5 Fiscal Agent for the U.S. Treasury</w:t>
      </w:r>
      <w:bookmarkEnd w:id="23"/>
    </w:p>
    <w:p w14:paraId="2C1F8C03" w14:textId="77777777" w:rsidR="008540B8" w:rsidRDefault="00000000">
      <w:pPr>
        <w:pStyle w:val="Compact"/>
        <w:numPr>
          <w:ilvl w:val="0"/>
          <w:numId w:val="10"/>
        </w:numPr>
      </w:pPr>
      <w:r>
        <w:t>Maintains Treasury account, issues/redeems securities, processes tax payments</w:t>
      </w:r>
    </w:p>
    <w:p w14:paraId="514B1E4A" w14:textId="77777777" w:rsidR="008540B8" w:rsidRDefault="00000000">
      <w:pPr>
        <w:pStyle w:val="Compact"/>
        <w:numPr>
          <w:ilvl w:val="0"/>
          <w:numId w:val="10"/>
        </w:numPr>
      </w:pPr>
      <w:r>
        <w:t>Historical parallel: Bank of England (1694) after Glorious Revolution</w:t>
      </w:r>
    </w:p>
    <w:p w14:paraId="49D5D67F" w14:textId="77777777" w:rsidR="008540B8" w:rsidRDefault="00000000">
      <w:pPr>
        <w:pStyle w:val="Compact"/>
        <w:numPr>
          <w:ilvl w:val="1"/>
          <w:numId w:val="11"/>
        </w:numPr>
      </w:pPr>
      <w:r>
        <w:t>Credible public debt → lower borrowing costs → capital-market development (North &amp; Weingast)</w:t>
      </w:r>
    </w:p>
    <w:p w14:paraId="2B92A945" w14:textId="77777777" w:rsidR="008540B8" w:rsidRDefault="00000000">
      <w:pPr>
        <w:pStyle w:val="Compact"/>
        <w:numPr>
          <w:ilvl w:val="0"/>
          <w:numId w:val="10"/>
        </w:numPr>
      </w:pPr>
      <w:r>
        <w:t>Current relevance: helps keep government borrowing costs lower amid high federal debt</w:t>
      </w:r>
    </w:p>
    <w:p w14:paraId="34747B75" w14:textId="77777777" w:rsidR="008540B8" w:rsidRDefault="00000000">
      <w:pPr>
        <w:pStyle w:val="Heading2"/>
      </w:pPr>
      <w:bookmarkStart w:id="24" w:name="Xa4ef6728f2072f296d877119fe6647331c852ce"/>
      <w:bookmarkStart w:id="25" w:name="_Toc235901403"/>
      <w:bookmarkEnd w:id="12"/>
      <w:bookmarkEnd w:id="22"/>
      <w:r>
        <w:lastRenderedPageBreak/>
        <w:t>2.2 II. Monetary Policy Independence — Why It Matters</w:t>
      </w:r>
      <w:bookmarkEnd w:id="25"/>
    </w:p>
    <w:p w14:paraId="73B1049A" w14:textId="77777777" w:rsidR="008540B8" w:rsidRDefault="00000000">
      <w:pPr>
        <w:pStyle w:val="Compact"/>
        <w:numPr>
          <w:ilvl w:val="0"/>
          <w:numId w:val="12"/>
        </w:numPr>
      </w:pPr>
      <w:r>
        <w:t>Congress sets goals; Fed decides day-to-day means</w:t>
      </w:r>
    </w:p>
    <w:p w14:paraId="690A84A0" w14:textId="77777777" w:rsidR="008540B8" w:rsidRDefault="00000000">
      <w:pPr>
        <w:pStyle w:val="Compact"/>
        <w:numPr>
          <w:ilvl w:val="0"/>
          <w:numId w:val="12"/>
        </w:numPr>
      </w:pPr>
      <w:r>
        <w:t>Designed to reduce short-term political pressure on rates</w:t>
      </w:r>
    </w:p>
    <w:p w14:paraId="538ED18E" w14:textId="77777777" w:rsidR="008540B8" w:rsidRDefault="00000000">
      <w:pPr>
        <w:pStyle w:val="Compact"/>
        <w:numPr>
          <w:ilvl w:val="0"/>
          <w:numId w:val="12"/>
        </w:numPr>
      </w:pPr>
      <w:r>
        <w:t>Comparison to judicial independence:</w:t>
      </w:r>
    </w:p>
    <w:p w14:paraId="290A0FDA" w14:textId="77777777" w:rsidR="008540B8" w:rsidRDefault="00000000">
      <w:pPr>
        <w:pStyle w:val="Compact"/>
        <w:numPr>
          <w:ilvl w:val="1"/>
          <w:numId w:val="13"/>
        </w:numPr>
      </w:pPr>
      <w:r>
        <w:t>Governors: 14-year staggered terms (cross administrations)</w:t>
      </w:r>
    </w:p>
    <w:p w14:paraId="020EDAD1" w14:textId="77777777" w:rsidR="008540B8" w:rsidRDefault="00000000">
      <w:pPr>
        <w:pStyle w:val="Compact"/>
        <w:numPr>
          <w:ilvl w:val="1"/>
          <w:numId w:val="13"/>
        </w:numPr>
      </w:pPr>
      <w:r>
        <w:t>Chair: separate 4-year renewable term (often begins mid-presidential term; frequently continues into next administration)</w:t>
      </w:r>
    </w:p>
    <w:p w14:paraId="0EED3562" w14:textId="77777777" w:rsidR="008540B8" w:rsidRDefault="00000000">
      <w:pPr>
        <w:pStyle w:val="Compact"/>
        <w:numPr>
          <w:ilvl w:val="1"/>
          <w:numId w:val="13"/>
        </w:numPr>
      </w:pPr>
      <w:r>
        <w:t>Unlike life-tenured judges: limited terms + ongoing accountability to Congress</w:t>
      </w:r>
    </w:p>
    <w:p w14:paraId="3D259F96" w14:textId="77777777" w:rsidR="008540B8" w:rsidRDefault="00000000">
      <w:pPr>
        <w:pStyle w:val="Compact"/>
        <w:numPr>
          <w:ilvl w:val="0"/>
          <w:numId w:val="12"/>
        </w:numPr>
      </w:pPr>
      <w:r>
        <w:t xml:space="preserve">“Independent </w:t>
      </w:r>
      <w:r>
        <w:rPr>
          <w:i/>
          <w:iCs/>
        </w:rPr>
        <w:t>within</w:t>
      </w:r>
      <w:r>
        <w:t xml:space="preserve"> the government,” not outside it</w:t>
      </w:r>
    </w:p>
    <w:p w14:paraId="676803B3" w14:textId="77777777" w:rsidR="008540B8" w:rsidRDefault="00000000">
      <w:pPr>
        <w:pStyle w:val="Heading2"/>
      </w:pPr>
      <w:bookmarkStart w:id="26" w:name="X2ac7a6711081713a9025dbb644da150d111fc8f"/>
      <w:bookmarkStart w:id="27" w:name="_Toc235901404"/>
      <w:bookmarkEnd w:id="24"/>
      <w:r>
        <w:t>2.3 III. Addressing Major Conspiracy Theories</w:t>
      </w:r>
      <w:bookmarkEnd w:id="27"/>
    </w:p>
    <w:p w14:paraId="1C62CB70" w14:textId="77777777" w:rsidR="008540B8" w:rsidRDefault="00000000">
      <w:pPr>
        <w:pStyle w:val="Heading3"/>
      </w:pPr>
      <w:bookmarkStart w:id="28" w:name="X54ea920068ca216842da71451ea328dccfee8e4"/>
      <w:bookmarkStart w:id="29" w:name="_Toc235901405"/>
      <w:r>
        <w:t>2.3.1 Theory 1: “Private bank owned by bankers / foreign elites / Rothschilds for private profit”</w:t>
      </w:r>
      <w:bookmarkEnd w:id="29"/>
    </w:p>
    <w:p w14:paraId="15234043" w14:textId="77777777" w:rsidR="008540B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Grain of truth</w:t>
      </w:r>
      <w:r>
        <w:t>: Member banks hold non-transferable stock; Reserve Banks have private-sector directors</w:t>
      </w:r>
    </w:p>
    <w:p w14:paraId="04650324" w14:textId="77777777" w:rsidR="008540B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Reality</w:t>
      </w:r>
      <w:r>
        <w:t>:</w:t>
      </w:r>
    </w:p>
    <w:p w14:paraId="3236236B" w14:textId="77777777" w:rsidR="008540B8" w:rsidRDefault="00000000">
      <w:pPr>
        <w:pStyle w:val="Compact"/>
        <w:numPr>
          <w:ilvl w:val="1"/>
          <w:numId w:val="15"/>
        </w:numPr>
      </w:pPr>
      <w:r>
        <w:t>Hybrid created by Congress (Federal Reserve Act 1913)</w:t>
      </w:r>
    </w:p>
    <w:p w14:paraId="61F98135" w14:textId="77777777" w:rsidR="008540B8" w:rsidRDefault="00000000">
      <w:pPr>
        <w:pStyle w:val="Compact"/>
        <w:numPr>
          <w:ilvl w:val="1"/>
          <w:numId w:val="15"/>
        </w:numPr>
      </w:pPr>
      <w:r>
        <w:t>Board of Governors = federal agency (presidential appointment + Senate confirmation)</w:t>
      </w:r>
    </w:p>
    <w:p w14:paraId="3BDEB714" w14:textId="77777777" w:rsidR="008540B8" w:rsidRDefault="00000000">
      <w:pPr>
        <w:pStyle w:val="Compact"/>
        <w:numPr>
          <w:ilvl w:val="1"/>
          <w:numId w:val="15"/>
        </w:numPr>
      </w:pPr>
      <w:r>
        <w:t>Stock: mandatory, limited statutory dividend (6% smaller banks; lesser of 6% or 10-year Treasury yield for larger), no residual ownership</w:t>
      </w:r>
    </w:p>
    <w:p w14:paraId="6A225886" w14:textId="77777777" w:rsidR="008540B8" w:rsidRDefault="00000000">
      <w:pPr>
        <w:pStyle w:val="Compact"/>
        <w:numPr>
          <w:ilvl w:val="1"/>
          <w:numId w:val="15"/>
        </w:numPr>
      </w:pPr>
      <w:r>
        <w:t>Excess earnings remitted to Treasury</w:t>
      </w:r>
    </w:p>
    <w:p w14:paraId="42AAF9DA" w14:textId="77777777" w:rsidR="008540B8" w:rsidRDefault="00000000">
      <w:pPr>
        <w:pStyle w:val="Compact"/>
        <w:numPr>
          <w:ilvl w:val="1"/>
          <w:numId w:val="15"/>
        </w:numPr>
      </w:pPr>
      <w:r>
        <w:t>No credible evidence of Rothschild/foreign family control</w:t>
      </w:r>
    </w:p>
    <w:p w14:paraId="343FECA0" w14:textId="77777777" w:rsidR="008540B8" w:rsidRDefault="00000000">
      <w:pPr>
        <w:pStyle w:val="Heading3"/>
      </w:pPr>
      <w:bookmarkStart w:id="30" w:name="Xe5e207caaa36d4b15dfed53a9dc226409b7453c"/>
      <w:bookmarkStart w:id="31" w:name="_Toc235901406"/>
      <w:bookmarkEnd w:id="28"/>
      <w:r>
        <w:t>2.3.2 Theory 2: The “Audit the Fed” Conspiracy Theory</w:t>
      </w:r>
      <w:bookmarkEnd w:id="31"/>
    </w:p>
    <w:p w14:paraId="13657418" w14:textId="77777777" w:rsidR="008540B8" w:rsidRDefault="00000000">
      <w:pPr>
        <w:pStyle w:val="FirstParagraph"/>
      </w:pPr>
      <w:r>
        <w:rPr>
          <w:i/>
          <w:iCs/>
        </w:rPr>
        <w:t>(“Secret, unaccountable, never audited”)</w:t>
      </w:r>
      <w:r>
        <w:t xml:space="preserve"> - </w:t>
      </w:r>
      <w:r>
        <w:rPr>
          <w:b/>
          <w:bCs/>
        </w:rPr>
        <w:t>Grain of truth</w:t>
      </w:r>
      <w:r>
        <w:t xml:space="preserve">: Monetary-policy deliberations insulated from direct GAO evaluation of judgments; 1910 Jekyll Island meeting was secretive - </w:t>
      </w:r>
      <w:r>
        <w:rPr>
          <w:b/>
          <w:bCs/>
        </w:rPr>
        <w:t>Reality</w:t>
      </w:r>
      <w:r>
        <w:t>: - Annual independent external audits of Board and Reserve Banks - Board OIG ongoing audits/investigations - Frequent GAO reviews of operations, supervision, emergency facilities - Weekly balance sheet; semiannual Monetary Policy Report; regular congressional testimony - FOMC minutes released ~3 weeks after meeting - Full transcripts + staff materials released after 5-year lag - “Audit the Fed” proposals usually seek to remove the monetary-policy carve-out - Outside analysis and criticism of data/actions/outcomes already continuous</w:t>
      </w:r>
    </w:p>
    <w:p w14:paraId="36237883" w14:textId="77777777" w:rsidR="008540B8" w:rsidRDefault="00000000">
      <w:pPr>
        <w:pStyle w:val="Heading3"/>
      </w:pPr>
      <w:bookmarkStart w:id="32" w:name="X57856493c58d38afd7e41643ae4a7aa35c72378"/>
      <w:bookmarkStart w:id="33" w:name="_Toc235901407"/>
      <w:bookmarkEnd w:id="30"/>
      <w:r>
        <w:t>2.3.3 Theory 3: “Created in bankers’ conspiracy (Jekyll Island) to engineer inflation / boom-bust cycles”</w:t>
      </w:r>
      <w:bookmarkEnd w:id="33"/>
    </w:p>
    <w:p w14:paraId="09D3117C" w14:textId="77777777" w:rsidR="008540B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Grain of truth</w:t>
      </w:r>
      <w:r>
        <w:t>: 1910 Jekyll Island meeting secretive + involved leading bankers; pre-Fed panics (e.g., 1907); monetary policy affects inflation and cycles</w:t>
      </w:r>
    </w:p>
    <w:p w14:paraId="01527800" w14:textId="77777777" w:rsidR="008540B8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Reality</w:t>
      </w:r>
      <w:r>
        <w:t>:</w:t>
      </w:r>
    </w:p>
    <w:p w14:paraId="53D24315" w14:textId="77777777" w:rsidR="008540B8" w:rsidRDefault="00000000">
      <w:pPr>
        <w:pStyle w:val="Compact"/>
        <w:numPr>
          <w:ilvl w:val="1"/>
          <w:numId w:val="17"/>
        </w:numPr>
      </w:pPr>
      <w:r>
        <w:t>Draft substantially modified, publicly debated, enacted by Congress under Wilson</w:t>
      </w:r>
    </w:p>
    <w:p w14:paraId="4464677A" w14:textId="77777777" w:rsidR="008540B8" w:rsidRDefault="00000000">
      <w:pPr>
        <w:pStyle w:val="Compact"/>
        <w:numPr>
          <w:ilvl w:val="1"/>
          <w:numId w:val="17"/>
        </w:numPr>
      </w:pPr>
      <w:r>
        <w:t>Progressive-Era compromise: fear of centralized power vs. need for lender of last resort + elastic currency</w:t>
      </w:r>
    </w:p>
    <w:p w14:paraId="5AE2995F" w14:textId="77777777" w:rsidR="008540B8" w:rsidRDefault="00000000">
      <w:pPr>
        <w:pStyle w:val="Compact"/>
        <w:numPr>
          <w:ilvl w:val="1"/>
          <w:numId w:val="17"/>
        </w:numPr>
      </w:pPr>
      <w:r>
        <w:t>Excess profits to Treasury, not private shareholders</w:t>
      </w:r>
    </w:p>
    <w:p w14:paraId="4222BA7D" w14:textId="77777777" w:rsidR="008540B8" w:rsidRDefault="00000000">
      <w:pPr>
        <w:pStyle w:val="Compact"/>
        <w:numPr>
          <w:ilvl w:val="1"/>
          <w:numId w:val="17"/>
        </w:numPr>
      </w:pPr>
      <w:r>
        <w:t>Independence, long terms, multi-layered audits designed to limit capture</w:t>
      </w:r>
    </w:p>
    <w:p w14:paraId="4959133E" w14:textId="77777777" w:rsidR="008540B8" w:rsidRDefault="00000000">
      <w:pPr>
        <w:pStyle w:val="Compact"/>
        <w:numPr>
          <w:ilvl w:val="1"/>
          <w:numId w:val="17"/>
        </w:numPr>
      </w:pPr>
      <w:r>
        <w:t>Policy mistakes real and debated; hidden-cabal claim unsupported by design or fund flows</w:t>
      </w:r>
    </w:p>
    <w:p w14:paraId="79441673" w14:textId="77777777" w:rsidR="008540B8" w:rsidRDefault="00000000">
      <w:pPr>
        <w:pStyle w:val="Heading2"/>
      </w:pPr>
      <w:bookmarkStart w:id="34" w:name="iv.-closing-bridge-to-discussion"/>
      <w:bookmarkStart w:id="35" w:name="_Toc235901408"/>
      <w:bookmarkEnd w:id="26"/>
      <w:bookmarkEnd w:id="32"/>
      <w:r>
        <w:t>2.4 IV. Closing Bridge to Discussion</w:t>
      </w:r>
      <w:bookmarkEnd w:id="35"/>
    </w:p>
    <w:p w14:paraId="441E2D51" w14:textId="77777777" w:rsidR="008540B8" w:rsidRDefault="00000000">
      <w:pPr>
        <w:pStyle w:val="Compact"/>
        <w:numPr>
          <w:ilvl w:val="0"/>
          <w:numId w:val="18"/>
        </w:numPr>
      </w:pPr>
      <w:r>
        <w:t>Hybrid, imperfect institution created by and accountable to Congress</w:t>
      </w:r>
    </w:p>
    <w:p w14:paraId="54BD59DC" w14:textId="77777777" w:rsidR="008540B8" w:rsidRDefault="00000000">
      <w:pPr>
        <w:pStyle w:val="Compact"/>
        <w:numPr>
          <w:ilvl w:val="0"/>
          <w:numId w:val="18"/>
        </w:numPr>
      </w:pPr>
      <w:r>
        <w:t>Actual structure (public Board + regional banks + limited stock + Treasury remittances + audits/disclosure) best antidote to conspiracy claims</w:t>
      </w:r>
    </w:p>
    <w:p w14:paraId="7F2D3A2A" w14:textId="77777777" w:rsidR="008540B8" w:rsidRDefault="00000000">
      <w:pPr>
        <w:pStyle w:val="Compact"/>
        <w:numPr>
          <w:ilvl w:val="0"/>
          <w:numId w:val="18"/>
        </w:numPr>
      </w:pPr>
      <w:r>
        <w:t>Discussion prompts:</w:t>
      </w:r>
    </w:p>
    <w:p w14:paraId="051D5705" w14:textId="77777777" w:rsidR="008540B8" w:rsidRDefault="00000000">
      <w:pPr>
        <w:pStyle w:val="Compact"/>
        <w:numPr>
          <w:ilvl w:val="1"/>
          <w:numId w:val="19"/>
        </w:numPr>
      </w:pPr>
      <w:r>
        <w:t>Which parts still seem opaque or problematic?</w:t>
      </w:r>
    </w:p>
    <w:p w14:paraId="51A014BC" w14:textId="77777777" w:rsidR="008540B8" w:rsidRDefault="00000000">
      <w:pPr>
        <w:pStyle w:val="Compact"/>
        <w:numPr>
          <w:ilvl w:val="1"/>
          <w:numId w:val="19"/>
        </w:numPr>
      </w:pPr>
      <w:r>
        <w:t>How does the independence trade-off compare to other institutions?</w:t>
      </w:r>
    </w:p>
    <w:p w14:paraId="054859CD" w14:textId="77777777" w:rsidR="008540B8" w:rsidRDefault="00000000">
      <w:pPr>
        <w:pStyle w:val="Heading1"/>
      </w:pPr>
      <w:bookmarkStart w:id="36" w:name="war-powers-in-recent-conflicts"/>
      <w:bookmarkStart w:id="37" w:name="_Toc235901409"/>
      <w:bookmarkEnd w:id="10"/>
      <w:bookmarkEnd w:id="34"/>
      <w:r>
        <w:t>3. War Powers in Recent Conflicts</w:t>
      </w:r>
      <w:bookmarkEnd w:id="37"/>
    </w:p>
    <w:p w14:paraId="43A9B75C" w14:textId="77777777" w:rsidR="008540B8" w:rsidRDefault="00000000">
      <w:pPr>
        <w:pStyle w:val="FirstParagraph"/>
      </w:pPr>
      <w:r>
        <w:rPr>
          <w:i/>
          <w:iCs/>
        </w:rPr>
        <w:t>(Second half of lecture day)</w:t>
      </w:r>
    </w:p>
    <w:p w14:paraId="60EC0C80" w14:textId="77777777" w:rsidR="008540B8" w:rsidRDefault="00000000">
      <w:pPr>
        <w:pStyle w:val="Heading2"/>
      </w:pPr>
      <w:bookmarkStart w:id="38" w:name="i.-opening-frame"/>
      <w:bookmarkStart w:id="39" w:name="_Toc235901410"/>
      <w:r>
        <w:t>3.1 I. Opening Frame</w:t>
      </w:r>
      <w:bookmarkEnd w:id="39"/>
    </w:p>
    <w:p w14:paraId="5AA880A9" w14:textId="77777777" w:rsidR="008540B8" w:rsidRDefault="00000000">
      <w:pPr>
        <w:pStyle w:val="Compact"/>
        <w:numPr>
          <w:ilvl w:val="0"/>
          <w:numId w:val="20"/>
        </w:numPr>
      </w:pPr>
      <w:r>
        <w:t>Article I (Congress declares) vs. Article II (Commander-in-Chief)</w:t>
      </w:r>
    </w:p>
    <w:p w14:paraId="0D5CBE65" w14:textId="77777777" w:rsidR="008540B8" w:rsidRDefault="00000000">
      <w:pPr>
        <w:pStyle w:val="Compact"/>
        <w:numPr>
          <w:ilvl w:val="0"/>
          <w:numId w:val="20"/>
        </w:numPr>
      </w:pPr>
      <w:r>
        <w:t>War Powers Resolution 1973: attempt at “collective judgment”</w:t>
      </w:r>
    </w:p>
    <w:p w14:paraId="3A00EADB" w14:textId="77777777" w:rsidR="008540B8" w:rsidRDefault="00000000">
      <w:pPr>
        <w:pStyle w:val="Compact"/>
        <w:numPr>
          <w:ilvl w:val="0"/>
          <w:numId w:val="20"/>
        </w:numPr>
      </w:pPr>
      <w:r>
        <w:t>Five decades of practice: executive expansion, congressional difficulty reclaiming authority</w:t>
      </w:r>
    </w:p>
    <w:p w14:paraId="503E95F2" w14:textId="77777777" w:rsidR="008540B8" w:rsidRDefault="00000000">
      <w:pPr>
        <w:pStyle w:val="Compact"/>
        <w:numPr>
          <w:ilvl w:val="0"/>
          <w:numId w:val="20"/>
        </w:numPr>
      </w:pPr>
      <w:r>
        <w:t>Today’s cases: Venezuela (Jan 2026) first, then Iran (Feb 2026–)</w:t>
      </w:r>
    </w:p>
    <w:p w14:paraId="0C0B3C36" w14:textId="77777777" w:rsidR="008540B8" w:rsidRDefault="00000000">
      <w:pPr>
        <w:pStyle w:val="Heading2"/>
      </w:pPr>
      <w:bookmarkStart w:id="40" w:name="X7a7329aebed6f2229a92ab117873b68bb9a1245"/>
      <w:bookmarkStart w:id="41" w:name="_Toc235901411"/>
      <w:bookmarkEnd w:id="38"/>
      <w:r>
        <w:t>3.2 II. Case Study 1: Venezuela Operation (January 2026)</w:t>
      </w:r>
      <w:bookmarkEnd w:id="41"/>
    </w:p>
    <w:p w14:paraId="2611882F" w14:textId="77777777" w:rsidR="008540B8" w:rsidRDefault="00000000">
      <w:pPr>
        <w:pStyle w:val="Heading3"/>
      </w:pPr>
      <w:bookmarkStart w:id="42" w:name="what-happened"/>
      <w:bookmarkStart w:id="43" w:name="_Toc235901412"/>
      <w:r>
        <w:t>3.2.1 What happened</w:t>
      </w:r>
      <w:bookmarkEnd w:id="43"/>
    </w:p>
    <w:p w14:paraId="09A23F21" w14:textId="77777777" w:rsidR="008540B8" w:rsidRDefault="00000000">
      <w:pPr>
        <w:pStyle w:val="Compact"/>
        <w:numPr>
          <w:ilvl w:val="0"/>
          <w:numId w:val="21"/>
        </w:numPr>
      </w:pPr>
      <w:r>
        <w:t>Military operation inside Venezuela</w:t>
      </w:r>
    </w:p>
    <w:p w14:paraId="305C967A" w14:textId="77777777" w:rsidR="008540B8" w:rsidRDefault="00000000">
      <w:pPr>
        <w:pStyle w:val="Compact"/>
        <w:numPr>
          <w:ilvl w:val="0"/>
          <w:numId w:val="21"/>
        </w:numPr>
      </w:pPr>
      <w:r>
        <w:t>Capture of Nicolás Maduro and Cilia Flores</w:t>
      </w:r>
    </w:p>
    <w:p w14:paraId="6B0596B7" w14:textId="77777777" w:rsidR="008540B8" w:rsidRDefault="00000000">
      <w:pPr>
        <w:pStyle w:val="Compact"/>
        <w:numPr>
          <w:ilvl w:val="0"/>
          <w:numId w:val="21"/>
        </w:numPr>
      </w:pPr>
      <w:r>
        <w:t>Transfer to U.S. for federal criminal charges</w:t>
      </w:r>
    </w:p>
    <w:p w14:paraId="5073E6DC" w14:textId="77777777" w:rsidR="008540B8" w:rsidRDefault="00000000">
      <w:pPr>
        <w:pStyle w:val="Compact"/>
        <w:numPr>
          <w:ilvl w:val="0"/>
          <w:numId w:val="21"/>
        </w:numPr>
      </w:pPr>
      <w:r>
        <w:t>Kinetic strikes; significant reported casualties</w:t>
      </w:r>
    </w:p>
    <w:p w14:paraId="096C73D8" w14:textId="77777777" w:rsidR="008540B8" w:rsidRDefault="00000000">
      <w:pPr>
        <w:pStyle w:val="Heading3"/>
      </w:pPr>
      <w:bookmarkStart w:id="44" w:name="administration-framing"/>
      <w:bookmarkStart w:id="45" w:name="_Toc235901413"/>
      <w:bookmarkEnd w:id="42"/>
      <w:r>
        <w:t>3.2.2 Administration framing</w:t>
      </w:r>
      <w:bookmarkEnd w:id="45"/>
    </w:p>
    <w:p w14:paraId="20A4EADB" w14:textId="77777777" w:rsidR="008540B8" w:rsidRDefault="00000000">
      <w:pPr>
        <w:pStyle w:val="Compact"/>
        <w:numPr>
          <w:ilvl w:val="0"/>
          <w:numId w:val="22"/>
        </w:numPr>
      </w:pPr>
      <w:r>
        <w:t>Law-enforcement action facilitated by military</w:t>
      </w:r>
    </w:p>
    <w:p w14:paraId="71D28EAD" w14:textId="77777777" w:rsidR="008540B8" w:rsidRDefault="00000000">
      <w:pPr>
        <w:pStyle w:val="Compact"/>
        <w:numPr>
          <w:ilvl w:val="0"/>
          <w:numId w:val="22"/>
        </w:numPr>
      </w:pPr>
      <w:r>
        <w:t>Article II authority + national interests</w:t>
      </w:r>
    </w:p>
    <w:p w14:paraId="35B868C0" w14:textId="77777777" w:rsidR="008540B8" w:rsidRDefault="00000000">
      <w:pPr>
        <w:pStyle w:val="Compact"/>
        <w:numPr>
          <w:ilvl w:val="0"/>
          <w:numId w:val="22"/>
        </w:numPr>
      </w:pPr>
      <w:r>
        <w:lastRenderedPageBreak/>
        <w:t>Claims it did not fully constitute “war” or “hostilities”</w:t>
      </w:r>
    </w:p>
    <w:p w14:paraId="7E9768C9" w14:textId="77777777" w:rsidR="008540B8" w:rsidRDefault="00000000">
      <w:pPr>
        <w:pStyle w:val="Heading3"/>
      </w:pPr>
      <w:bookmarkStart w:id="46" w:name="Xdfeb26c4448928e574227014fee0fbf7a7474c8"/>
      <w:bookmarkStart w:id="47" w:name="_Toc235901414"/>
      <w:bookmarkEnd w:id="44"/>
      <w:r>
        <w:t>3.2.3 Precedent: Operation Just Cause (Panama, Dec 1989)</w:t>
      </w:r>
      <w:bookmarkEnd w:id="47"/>
    </w:p>
    <w:p w14:paraId="119BDB76" w14:textId="77777777" w:rsidR="008540B8" w:rsidRDefault="00000000">
      <w:pPr>
        <w:pStyle w:val="Compact"/>
        <w:numPr>
          <w:ilvl w:val="0"/>
          <w:numId w:val="23"/>
        </w:numPr>
      </w:pPr>
      <w:r>
        <w:t>Capture of Manuel Noriega on drug-trafficking charges</w:t>
      </w:r>
    </w:p>
    <w:p w14:paraId="233EFBD6" w14:textId="77777777" w:rsidR="008540B8" w:rsidRDefault="00000000">
      <w:pPr>
        <w:pStyle w:val="Compact"/>
        <w:numPr>
          <w:ilvl w:val="0"/>
          <w:numId w:val="23"/>
        </w:numPr>
      </w:pPr>
      <w:r>
        <w:t>Mix of criminal-law goals + military force to remove head of state</w:t>
      </w:r>
    </w:p>
    <w:p w14:paraId="424FFC89" w14:textId="77777777" w:rsidR="008540B8" w:rsidRDefault="00000000">
      <w:pPr>
        <w:pStyle w:val="Compact"/>
        <w:numPr>
          <w:ilvl w:val="0"/>
          <w:numId w:val="23"/>
        </w:numPr>
      </w:pPr>
      <w:r>
        <w:t>Justifications: protect Americans, democracy, drug trafficking, canal treaties</w:t>
      </w:r>
    </w:p>
    <w:p w14:paraId="1197EBAA" w14:textId="77777777" w:rsidR="008540B8" w:rsidRDefault="00000000">
      <w:pPr>
        <w:pStyle w:val="Compact"/>
        <w:numPr>
          <w:ilvl w:val="0"/>
          <w:numId w:val="23"/>
        </w:numPr>
      </w:pPr>
      <w:r>
        <w:t>Practical precedent later administrations have echoed</w:t>
      </w:r>
    </w:p>
    <w:p w14:paraId="0C388EB6" w14:textId="77777777" w:rsidR="008540B8" w:rsidRDefault="00000000">
      <w:pPr>
        <w:pStyle w:val="Heading3"/>
      </w:pPr>
      <w:bookmarkStart w:id="48" w:name="war-powers-issues"/>
      <w:bookmarkStart w:id="49" w:name="_Toc235901415"/>
      <w:bookmarkEnd w:id="46"/>
      <w:r>
        <w:t>3.2.4 War Powers issues</w:t>
      </w:r>
      <w:bookmarkEnd w:id="49"/>
    </w:p>
    <w:p w14:paraId="70C78733" w14:textId="77777777" w:rsidR="008540B8" w:rsidRDefault="00000000">
      <w:pPr>
        <w:pStyle w:val="Compact"/>
        <w:numPr>
          <w:ilvl w:val="0"/>
          <w:numId w:val="24"/>
        </w:numPr>
      </w:pPr>
      <w:r>
        <w:t>Did it trigger 48-hour report and 60-day clock?</w:t>
      </w:r>
    </w:p>
    <w:p w14:paraId="319A9A60" w14:textId="77777777" w:rsidR="008540B8" w:rsidRDefault="00000000">
      <w:pPr>
        <w:pStyle w:val="Compact"/>
        <w:numPr>
          <w:ilvl w:val="0"/>
          <w:numId w:val="24"/>
        </w:numPr>
      </w:pPr>
      <w:r>
        <w:t>Link to earlier Caribbean boat strikes (drug/terror designations)</w:t>
      </w:r>
    </w:p>
    <w:p w14:paraId="13212F9E" w14:textId="77777777" w:rsidR="008540B8" w:rsidRDefault="00000000">
      <w:pPr>
        <w:pStyle w:val="Compact"/>
        <w:numPr>
          <w:ilvl w:val="0"/>
          <w:numId w:val="24"/>
        </w:numPr>
      </w:pPr>
      <w:r>
        <w:t>Later arguments that some remote/drone strikes fell below “hostilities” threshold (low risk to U.S. personnel)</w:t>
      </w:r>
    </w:p>
    <w:p w14:paraId="7B2C7299" w14:textId="77777777" w:rsidR="008540B8" w:rsidRDefault="00000000">
      <w:pPr>
        <w:pStyle w:val="Compact"/>
        <w:numPr>
          <w:ilvl w:val="0"/>
          <w:numId w:val="24"/>
        </w:numPr>
      </w:pPr>
      <w:r>
        <w:t>Multiple congressional resolutions seeking termination; some bipartisan, none veto-proof</w:t>
      </w:r>
    </w:p>
    <w:p w14:paraId="73354C3E" w14:textId="77777777" w:rsidR="008540B8" w:rsidRDefault="00000000">
      <w:pPr>
        <w:pStyle w:val="Heading3"/>
      </w:pPr>
      <w:bookmarkStart w:id="50" w:name="teaching-points"/>
      <w:bookmarkStart w:id="51" w:name="_Toc235901416"/>
      <w:bookmarkEnd w:id="48"/>
      <w:r>
        <w:t>3.2.5 Teaching points</w:t>
      </w:r>
      <w:bookmarkEnd w:id="51"/>
    </w:p>
    <w:p w14:paraId="5EBADFAE" w14:textId="77777777" w:rsidR="008540B8" w:rsidRDefault="00000000">
      <w:pPr>
        <w:pStyle w:val="Compact"/>
        <w:numPr>
          <w:ilvl w:val="0"/>
          <w:numId w:val="25"/>
        </w:numPr>
      </w:pPr>
      <w:r>
        <w:t>Blurred line: law enforcement vs. use of force against a state</w:t>
      </w:r>
    </w:p>
    <w:p w14:paraId="42240B79" w14:textId="77777777" w:rsidR="008540B8" w:rsidRDefault="00000000">
      <w:pPr>
        <w:pStyle w:val="Compact"/>
        <w:numPr>
          <w:ilvl w:val="0"/>
          <w:numId w:val="25"/>
        </w:numPr>
      </w:pPr>
      <w:r>
        <w:t>Historical precedent undercuts pure novelty claims</w:t>
      </w:r>
    </w:p>
    <w:p w14:paraId="7BD9050F" w14:textId="77777777" w:rsidR="008540B8" w:rsidRDefault="00000000">
      <w:pPr>
        <w:pStyle w:val="Compact"/>
        <w:numPr>
          <w:ilvl w:val="0"/>
          <w:numId w:val="25"/>
        </w:numPr>
      </w:pPr>
      <w:r>
        <w:t>Post-</w:t>
      </w:r>
      <w:r>
        <w:rPr>
          <w:i/>
          <w:iCs/>
        </w:rPr>
        <w:t>Chadha</w:t>
      </w:r>
      <w:r>
        <w:t>: concurrent resolutions = political signal, not enforceable command</w:t>
      </w:r>
    </w:p>
    <w:p w14:paraId="4FA40410" w14:textId="77777777" w:rsidR="008540B8" w:rsidRDefault="00000000">
      <w:pPr>
        <w:pStyle w:val="Heading2"/>
      </w:pPr>
      <w:bookmarkStart w:id="52" w:name="X757f15e80eb2b2f0ceec474bca5ef4838f7b033"/>
      <w:bookmarkStart w:id="53" w:name="_Toc235901417"/>
      <w:bookmarkEnd w:id="40"/>
      <w:bookmarkEnd w:id="50"/>
      <w:r>
        <w:t>3.3 III. Case Study 2: Iran Conflict (February 2026–present)</w:t>
      </w:r>
      <w:bookmarkEnd w:id="53"/>
    </w:p>
    <w:p w14:paraId="623CBE24" w14:textId="77777777" w:rsidR="008540B8" w:rsidRDefault="00000000">
      <w:pPr>
        <w:pStyle w:val="Heading3"/>
      </w:pPr>
      <w:bookmarkStart w:id="54" w:name="timeline"/>
      <w:bookmarkStart w:id="55" w:name="_Toc235901418"/>
      <w:r>
        <w:t>3.3.1 Timeline</w:t>
      </w:r>
      <w:bookmarkEnd w:id="55"/>
    </w:p>
    <w:p w14:paraId="4F574D3C" w14:textId="77777777" w:rsidR="008540B8" w:rsidRDefault="00000000">
      <w:pPr>
        <w:pStyle w:val="Compact"/>
        <w:numPr>
          <w:ilvl w:val="0"/>
          <w:numId w:val="26"/>
        </w:numPr>
      </w:pPr>
      <w:r>
        <w:t>~28 Feb 2026: major strikes begin; 48-hour reports under Article II</w:t>
      </w:r>
    </w:p>
    <w:p w14:paraId="633ACEB0" w14:textId="77777777" w:rsidR="008540B8" w:rsidRDefault="00000000">
      <w:pPr>
        <w:pStyle w:val="Compact"/>
        <w:numPr>
          <w:ilvl w:val="0"/>
          <w:numId w:val="26"/>
        </w:numPr>
      </w:pPr>
      <w:r>
        <w:t>May 2026: administration claims hostilities “terminated” after April ceasefire (attempt to stop/reset 60-day clock)</w:t>
      </w:r>
    </w:p>
    <w:p w14:paraId="6218123F" w14:textId="77777777" w:rsidR="008540B8" w:rsidRDefault="00000000">
      <w:pPr>
        <w:pStyle w:val="Compact"/>
        <w:numPr>
          <w:ilvl w:val="0"/>
          <w:numId w:val="26"/>
        </w:numPr>
      </w:pPr>
      <w:r>
        <w:t>Both chambers pass concurrent resolutions directing withdrawal (first time for ongoing conflict; still non-binding)</w:t>
      </w:r>
    </w:p>
    <w:p w14:paraId="5080F2B2" w14:textId="77777777" w:rsidR="008540B8" w:rsidRDefault="00000000">
      <w:pPr>
        <w:pStyle w:val="Compact"/>
        <w:numPr>
          <w:ilvl w:val="0"/>
          <w:numId w:val="26"/>
        </w:numPr>
      </w:pPr>
      <w:r>
        <w:t>June–July 2026: renewed strikes; new 48-hour reports citing Iranian attacks on shipping in Strait of Hormuz</w:t>
      </w:r>
    </w:p>
    <w:p w14:paraId="7DEB8182" w14:textId="77777777" w:rsidR="008540B8" w:rsidRDefault="00000000">
      <w:pPr>
        <w:pStyle w:val="Heading3"/>
      </w:pPr>
      <w:bookmarkStart w:id="56" w:name="core-disputes"/>
      <w:bookmarkStart w:id="57" w:name="_Toc235901419"/>
      <w:bookmarkEnd w:id="54"/>
      <w:r>
        <w:t>3.3.2 Core disputes</w:t>
      </w:r>
      <w:bookmarkEnd w:id="57"/>
    </w:p>
    <w:p w14:paraId="4ED4592D" w14:textId="77777777" w:rsidR="008540B8" w:rsidRDefault="00000000">
      <w:pPr>
        <w:pStyle w:val="Compact"/>
        <w:numPr>
          <w:ilvl w:val="0"/>
          <w:numId w:val="27"/>
        </w:numPr>
      </w:pPr>
      <w:r>
        <w:t>Does a ceasefire truly terminate hostilities for the clock?</w:t>
      </w:r>
    </w:p>
    <w:p w14:paraId="436E046A" w14:textId="77777777" w:rsidR="008540B8" w:rsidRDefault="00000000">
      <w:pPr>
        <w:pStyle w:val="Compact"/>
        <w:numPr>
          <w:ilvl w:val="0"/>
          <w:numId w:val="27"/>
        </w:numPr>
      </w:pPr>
      <w:r>
        <w:t>Continued reliance on broad Article II “respond to threat” claims</w:t>
      </w:r>
    </w:p>
    <w:p w14:paraId="6EAC3404" w14:textId="77777777" w:rsidR="008540B8" w:rsidRDefault="00000000">
      <w:pPr>
        <w:pStyle w:val="Compact"/>
        <w:numPr>
          <w:ilvl w:val="0"/>
          <w:numId w:val="27"/>
        </w:numPr>
      </w:pPr>
      <w:r>
        <w:t xml:space="preserve">Weakness of concurrent resolutions after </w:t>
      </w:r>
      <w:r>
        <w:rPr>
          <w:i/>
          <w:iCs/>
        </w:rPr>
        <w:t>Chadha</w:t>
      </w:r>
    </w:p>
    <w:p w14:paraId="5F5471AA" w14:textId="77777777" w:rsidR="008540B8" w:rsidRDefault="00000000">
      <w:pPr>
        <w:pStyle w:val="Heading2"/>
      </w:pPr>
      <w:bookmarkStart w:id="58" w:name="iv.-broader-patterns"/>
      <w:bookmarkStart w:id="59" w:name="_Toc235901420"/>
      <w:bookmarkEnd w:id="52"/>
      <w:bookmarkEnd w:id="56"/>
      <w:r>
        <w:t>3.4 IV. Broader Patterns</w:t>
      </w:r>
      <w:bookmarkEnd w:id="59"/>
    </w:p>
    <w:p w14:paraId="45997C78" w14:textId="77777777" w:rsidR="008540B8" w:rsidRDefault="00000000">
      <w:pPr>
        <w:pStyle w:val="Compact"/>
        <w:numPr>
          <w:ilvl w:val="0"/>
          <w:numId w:val="28"/>
        </w:numPr>
      </w:pPr>
      <w:r>
        <w:t>Narrowing of “hostilities” (risk to U.S. personnel, no ground troops, remote ops) — Libya 2011 as key precedent</w:t>
      </w:r>
    </w:p>
    <w:p w14:paraId="2C48EF25" w14:textId="77777777" w:rsidR="008540B8" w:rsidRDefault="00000000">
      <w:pPr>
        <w:pStyle w:val="Compact"/>
        <w:numPr>
          <w:ilvl w:val="0"/>
          <w:numId w:val="28"/>
        </w:numPr>
      </w:pPr>
      <w:r>
        <w:t>60-day clock more reporting/political deadline than automatic off-switch</w:t>
      </w:r>
    </w:p>
    <w:p w14:paraId="050B3955" w14:textId="77777777" w:rsidR="008540B8" w:rsidRDefault="00000000">
      <w:pPr>
        <w:pStyle w:val="Compact"/>
        <w:numPr>
          <w:ilvl w:val="0"/>
          <w:numId w:val="28"/>
        </w:numPr>
      </w:pPr>
      <w:r>
        <w:lastRenderedPageBreak/>
        <w:t>Courts largely treat disputes as political questions</w:t>
      </w:r>
    </w:p>
    <w:p w14:paraId="1AA33205" w14:textId="77777777" w:rsidR="008540B8" w:rsidRDefault="00000000">
      <w:pPr>
        <w:pStyle w:val="Compact"/>
        <w:numPr>
          <w:ilvl w:val="0"/>
          <w:numId w:val="28"/>
        </w:numPr>
      </w:pPr>
      <w:r>
        <w:t>Both parties expand executive latitude when in the White House</w:t>
      </w:r>
    </w:p>
    <w:p w14:paraId="01C2AFE1" w14:textId="77777777" w:rsidR="008540B8" w:rsidRDefault="00000000">
      <w:pPr>
        <w:pStyle w:val="Heading2"/>
      </w:pPr>
      <w:bookmarkStart w:id="60" w:name="v.-bridge-to-discussion"/>
      <w:bookmarkStart w:id="61" w:name="_Toc235901421"/>
      <w:bookmarkEnd w:id="58"/>
      <w:r>
        <w:t>3.5 V. Bridge to Discussion</w:t>
      </w:r>
      <w:bookmarkEnd w:id="61"/>
    </w:p>
    <w:p w14:paraId="24E1F7D9" w14:textId="77777777" w:rsidR="008540B8" w:rsidRDefault="00000000">
      <w:pPr>
        <w:pStyle w:val="Compact"/>
        <w:numPr>
          <w:ilvl w:val="0"/>
          <w:numId w:val="29"/>
        </w:numPr>
      </w:pPr>
      <w:r>
        <w:t>1973 statute applied to capture ops, maritime interdictions, precision strikes, protracted campaigns</w:t>
      </w:r>
    </w:p>
    <w:p w14:paraId="0BEE00A7" w14:textId="77777777" w:rsidR="008540B8" w:rsidRDefault="00000000">
      <w:pPr>
        <w:pStyle w:val="Compact"/>
        <w:numPr>
          <w:ilvl w:val="0"/>
          <w:numId w:val="29"/>
        </w:numPr>
      </w:pPr>
      <w:r>
        <w:t>Congress still has tools (funding, new AUMFs, joint resolutions) but rarely the political will or super-majorities</w:t>
      </w:r>
    </w:p>
    <w:p w14:paraId="449BAF5B" w14:textId="77777777" w:rsidR="008540B8" w:rsidRDefault="00000000">
      <w:pPr>
        <w:pStyle w:val="Compact"/>
        <w:numPr>
          <w:ilvl w:val="0"/>
          <w:numId w:val="29"/>
        </w:numPr>
      </w:pPr>
      <w:r>
        <w:t>Move to discussion questions (esp. 60-day clock as limit/license; modern definition of hostilities; declarations vs. open-ended AUMFs)</w:t>
      </w:r>
    </w:p>
    <w:p w14:paraId="23A301BD" w14:textId="77777777" w:rsidR="008540B8" w:rsidRDefault="00000000">
      <w:pPr>
        <w:pStyle w:val="Heading2"/>
      </w:pPr>
      <w:bookmarkStart w:id="62" w:name="authorship-and-license"/>
      <w:bookmarkStart w:id="63" w:name="_Toc235901422"/>
      <w:bookmarkEnd w:id="60"/>
      <w:r>
        <w:t>3.6 Authorship and License</w:t>
      </w:r>
      <w:bookmarkEnd w:id="63"/>
    </w:p>
    <w:p w14:paraId="3F8674AB" w14:textId="77777777" w:rsidR="008540B8" w:rsidRDefault="00000000">
      <w:pPr>
        <w:pStyle w:val="FirstParagraph"/>
      </w:pPr>
      <w:r>
        <w:t>Cover image created with Imagen 3.0, part of Google’s Gemini.</w:t>
      </w:r>
    </w:p>
    <w:p w14:paraId="2436A920" w14:textId="77777777" w:rsidR="008540B8" w:rsidRDefault="00000000">
      <w:pPr>
        <w:pStyle w:val="BodyText"/>
      </w:pPr>
      <w:r>
        <w:t>Do not submit to Quizlet, Chegg, Coursehero, or other similar commercial websites.</w:t>
      </w:r>
    </w:p>
    <w:p w14:paraId="600304C5" w14:textId="77777777" w:rsidR="008540B8" w:rsidRDefault="00000000">
      <w:pPr>
        <w:numPr>
          <w:ilvl w:val="0"/>
          <w:numId w:val="30"/>
        </w:numPr>
      </w:pPr>
      <w:r>
        <w:t>Author: Tom Hanna</w:t>
      </w:r>
    </w:p>
    <w:p w14:paraId="6EDAD2BB" w14:textId="77777777" w:rsidR="008540B8" w:rsidRDefault="00000000">
      <w:pPr>
        <w:numPr>
          <w:ilvl w:val="0"/>
          <w:numId w:val="30"/>
        </w:numPr>
      </w:pPr>
      <w:r>
        <w:t>Website: tomhanna.me</w:t>
      </w:r>
    </w:p>
    <w:p w14:paraId="5BD32F9E" w14:textId="77777777" w:rsidR="008540B8" w:rsidRDefault="00000000">
      <w:pPr>
        <w:numPr>
          <w:ilvl w:val="0"/>
          <w:numId w:val="30"/>
        </w:numPr>
      </w:pPr>
      <w:r>
        <w:t>License: This work is licensed under a Creative Commons Attribution-NonCommercial-ShareAlike 4.0 International License.</w:t>
      </w:r>
    </w:p>
    <w:p w14:paraId="4FD69897" w14:textId="77777777" w:rsidR="008540B8" w:rsidRDefault="00000000">
      <w:pPr>
        <w:pStyle w:val="FirstParagraph"/>
      </w:pPr>
      <w:r>
        <w:rPr>
          <w:noProof/>
        </w:rPr>
        <w:drawing>
          <wp:inline distT="0" distB="0" distL="0" distR="0" wp14:anchorId="76A8AAAD" wp14:editId="3FA8962D">
            <wp:extent cx="1117600" cy="393700"/>
            <wp:effectExtent l="0" t="0" r="0" b="0"/>
            <wp:docPr id="40" name="Picture" descr="Creative Commons Licen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../assets/creative_commons_licens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bookmarkEnd w:id="62"/>
    </w:p>
    <w:sectPr w:rsidR="008540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6CAFA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55EE7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56678828">
    <w:abstractNumId w:val="0"/>
  </w:num>
  <w:num w:numId="2" w16cid:durableId="590702750">
    <w:abstractNumId w:val="1"/>
  </w:num>
  <w:num w:numId="3" w16cid:durableId="327447962">
    <w:abstractNumId w:val="1"/>
  </w:num>
  <w:num w:numId="4" w16cid:durableId="1290822597">
    <w:abstractNumId w:val="1"/>
  </w:num>
  <w:num w:numId="5" w16cid:durableId="2127968440">
    <w:abstractNumId w:val="1"/>
  </w:num>
  <w:num w:numId="6" w16cid:durableId="392241932">
    <w:abstractNumId w:val="1"/>
  </w:num>
  <w:num w:numId="7" w16cid:durableId="1969120240">
    <w:abstractNumId w:val="1"/>
  </w:num>
  <w:num w:numId="8" w16cid:durableId="2045330402">
    <w:abstractNumId w:val="1"/>
  </w:num>
  <w:num w:numId="9" w16cid:durableId="93982089">
    <w:abstractNumId w:val="1"/>
  </w:num>
  <w:num w:numId="10" w16cid:durableId="1484128344">
    <w:abstractNumId w:val="1"/>
  </w:num>
  <w:num w:numId="11" w16cid:durableId="2901132">
    <w:abstractNumId w:val="1"/>
  </w:num>
  <w:num w:numId="12" w16cid:durableId="1567764265">
    <w:abstractNumId w:val="1"/>
  </w:num>
  <w:num w:numId="13" w16cid:durableId="735663067">
    <w:abstractNumId w:val="1"/>
  </w:num>
  <w:num w:numId="14" w16cid:durableId="1566261253">
    <w:abstractNumId w:val="1"/>
  </w:num>
  <w:num w:numId="15" w16cid:durableId="479545104">
    <w:abstractNumId w:val="1"/>
  </w:num>
  <w:num w:numId="16" w16cid:durableId="1989743181">
    <w:abstractNumId w:val="1"/>
  </w:num>
  <w:num w:numId="17" w16cid:durableId="1917396621">
    <w:abstractNumId w:val="1"/>
  </w:num>
  <w:num w:numId="18" w16cid:durableId="14549147">
    <w:abstractNumId w:val="1"/>
  </w:num>
  <w:num w:numId="19" w16cid:durableId="1987854186">
    <w:abstractNumId w:val="1"/>
  </w:num>
  <w:num w:numId="20" w16cid:durableId="512259637">
    <w:abstractNumId w:val="1"/>
  </w:num>
  <w:num w:numId="21" w16cid:durableId="1484662141">
    <w:abstractNumId w:val="1"/>
  </w:num>
  <w:num w:numId="22" w16cid:durableId="1596745667">
    <w:abstractNumId w:val="1"/>
  </w:num>
  <w:num w:numId="23" w16cid:durableId="1540824590">
    <w:abstractNumId w:val="1"/>
  </w:num>
  <w:num w:numId="24" w16cid:durableId="686055384">
    <w:abstractNumId w:val="1"/>
  </w:num>
  <w:num w:numId="25" w16cid:durableId="1295254217">
    <w:abstractNumId w:val="1"/>
  </w:num>
  <w:num w:numId="26" w16cid:durableId="261568641">
    <w:abstractNumId w:val="1"/>
  </w:num>
  <w:num w:numId="27" w16cid:durableId="392654983">
    <w:abstractNumId w:val="1"/>
  </w:num>
  <w:num w:numId="28" w16cid:durableId="511722062">
    <w:abstractNumId w:val="1"/>
  </w:num>
  <w:num w:numId="29" w16cid:durableId="1224103857">
    <w:abstractNumId w:val="1"/>
  </w:num>
  <w:num w:numId="30" w16cid:durableId="199085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B8"/>
    <w:rsid w:val="000265A9"/>
    <w:rsid w:val="001D5099"/>
    <w:rsid w:val="008540B8"/>
    <w:rsid w:val="00AE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7503"/>
  <w15:docId w15:val="{F98F2E2A-0537-4057-AC71-2FDA96E2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AE5A7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E5A7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E5A7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1466</Words>
  <Characters>8555</Characters>
  <Application>Microsoft Office Word</Application>
  <DocSecurity>0</DocSecurity>
  <Lines>211</Lines>
  <Paragraphs>170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Major Examples: Federal Reserve and War Powers</dc:title>
  <dc:creator>Tom Hanna</dc:creator>
  <cp:keywords/>
  <cp:lastModifiedBy>Tom Hanna</cp:lastModifiedBy>
  <cp:revision>3</cp:revision>
  <cp:lastPrinted>2026-07-26T00:50:00Z</cp:lastPrinted>
  <dcterms:created xsi:type="dcterms:W3CDTF">2026-07-26T00:49:00Z</dcterms:created>
  <dcterms:modified xsi:type="dcterms:W3CDTF">2026-07-26T00:50:00Z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2026-07-28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GOVT2305: Federal Government</vt:lpwstr>
  </property>
  <property fmtid="{D5CDD505-2E9C-101B-9397-08002B2CF9AE}" pid="14" name="toc-title">
    <vt:lpwstr>Table of contents</vt:lpwstr>
  </property>
</Properties>
</file>