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Tom Hanna</w:t>
      </w:r>
    </w:p>
    <w:p>
      <w:pPr>
        <w:pStyle w:val="Date"/>
      </w:pPr>
      <w:r>
        <w:t xml:space="preserve">2027-01-31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5f1f72394e5dcb7afea4a97ac4c3e91df4d3dfb"/>
    <w:p>
      <w:pPr>
        <w:pStyle w:val="Heading1"/>
      </w:pPr>
      <w:r>
        <w:t xml:space="preserve">1. 1. Introduction: The Strategic Importance of Research Architecture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Retrain cognitive processes from passive observation to active construction of logical research.</w:t>
      </w:r>
    </w:p>
    <w:bookmarkStart w:id="20" w:name="defining-formal-scientific-research"/>
    <w:p>
      <w:pPr>
        <w:pStyle w:val="Heading2"/>
      </w:pPr>
      <w:r>
        <w:t xml:space="preserve">1.1 Defining Formal Scientific Research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Distinction:</w:t>
      </w:r>
      <w:r>
        <w:t xml:space="preserve"> </w:t>
      </w:r>
      <w:r>
        <w:t xml:space="preserve">Differs from</w:t>
      </w:r>
      <w:r>
        <w:t xml:space="preserve"> </w:t>
      </w:r>
      <w:r>
        <w:t xml:space="preserve">“lay”</w:t>
      </w:r>
      <w:r>
        <w:t xml:space="preserve"> </w:t>
      </w:r>
      <w:r>
        <w:t xml:space="preserve">research (browsing/searching) by requiring strict adherence to the scientific method and contribution to a body of science.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Two Pillars of Scientific Knowledge: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Logic (Theory):</w:t>
      </w:r>
      <w:r>
        <w:t xml:space="preserve"> </w:t>
      </w:r>
      <w:r>
        <w:t xml:space="preserve">The theoretical plane. Systematic explanation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phenomena occur.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Evidence (Observations):</w:t>
      </w:r>
      <w:r>
        <w:t xml:space="preserve"> </w:t>
      </w:r>
      <w:r>
        <w:t xml:space="preserve">The empirical plane. Validation, refinement, or construction of theories based on reality.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Interdependence:</w:t>
      </w:r>
      <w:r>
        <w:t xml:space="preserve"> </w:t>
      </w:r>
      <w:r>
        <w:t xml:space="preserve">Observations without theory are facts without a framework; theory without evidence is speculation.</w:t>
      </w:r>
    </w:p>
    <w:bookmarkEnd w:id="20"/>
    <w:bookmarkEnd w:id="21"/>
    <w:bookmarkStart w:id="24" w:name="X84561ac92a18ebfea7fd97d4ca57af734ea41b0"/>
    <w:p>
      <w:pPr>
        <w:pStyle w:val="Heading1"/>
      </w:pPr>
      <w:r>
        <w:t xml:space="preserve">2. 2. The Theoretical Plane: Thinking Like a Researcher</w:t>
      </w:r>
    </w:p>
    <w:p>
      <w:pPr>
        <w:pStyle w:val="FirstParagraph"/>
      </w:pPr>
      <w:r>
        <w:rPr>
          <w:b/>
          <w:bCs/>
        </w:rPr>
        <w:t xml:space="preserve">Core Skill:</w:t>
      </w:r>
      <w:r>
        <w:t xml:space="preserve"> </w:t>
      </w:r>
      <w:r>
        <w:t xml:space="preserve">Reification – Regarding abstract mental constructs as real, measurable entities.</w:t>
      </w:r>
    </w:p>
    <w:bookmarkStart w:id="22" w:name="building-blocks-of-inquiry"/>
    <w:p>
      <w:pPr>
        <w:pStyle w:val="Heading2"/>
      </w:pPr>
      <w:r>
        <w:t xml:space="preserve">2.1 Building Blocks of Inquiry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Concepts (General/Theoretical):</w:t>
      </w:r>
      <w:r>
        <w:t xml:space="preserve"> </w:t>
      </w:r>
      <w:r>
        <w:t xml:space="preserve">Generalizable properties (e.g.,</w:t>
      </w:r>
      <w:r>
        <w:t xml:space="preserve"> </w:t>
      </w:r>
      <w:r>
        <w:t xml:space="preserve">“attitude”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Constructs (High/Theoretical):</w:t>
      </w:r>
      <w:r>
        <w:t xml:space="preserve"> </w:t>
      </w:r>
      <w:r>
        <w:t xml:space="preserve">Abstract concepts specifically created to explain a phenomenon.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Variables (Low/Empirical):</w:t>
      </w:r>
      <w:r>
        <w:t xml:space="preserve"> </w:t>
      </w:r>
      <w:r>
        <w:t xml:space="preserve">Measurable representations (proxies) used to test abstract ideas.</w:t>
      </w:r>
    </w:p>
    <w:bookmarkEnd w:id="22"/>
    <w:bookmarkStart w:id="23" w:name="X5178f26a94712afed460336b74826c40bface84"/>
    <w:p>
      <w:pPr>
        <w:pStyle w:val="Heading2"/>
      </w:pPr>
      <w:r>
        <w:t xml:space="preserve">2.2 The Transformation of Propositions into Hypotheses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Propositions:</w:t>
      </w:r>
      <w:r>
        <w:t xml:space="preserve"> </w:t>
      </w:r>
      <w:r>
        <w:t xml:space="preserve">Declarative statements of relationships between abstract constructs (cannot be tested directly).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Hypotheses:</w:t>
      </w:r>
      <w:r>
        <w:t xml:space="preserve"> </w:t>
      </w:r>
      <w:r>
        <w:t xml:space="preserve">Empirical formulations linking specific variables; must specify directionality and causality.</w:t>
      </w:r>
    </w:p>
    <w:bookmarkEnd w:id="23"/>
    <w:bookmarkEnd w:id="24"/>
    <w:bookmarkStart w:id="28" w:name="X3897268fcb9e9b181c1f7f1b40df335197594f0"/>
    <w:p>
      <w:pPr>
        <w:pStyle w:val="Heading1"/>
      </w:pPr>
      <w:r>
        <w:t xml:space="preserve">3. 3. The Logic of Inquiry: Induction, Deduction, and the Research Cycle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A continuous, helical process iterating between theory and observation.</w:t>
      </w:r>
    </w:p>
    <w:bookmarkStart w:id="25" w:name="reasoning-methods"/>
    <w:p>
      <w:pPr>
        <w:pStyle w:val="Heading2"/>
      </w:pPr>
      <w:r>
        <w:t xml:space="preserve">3.1 Reasoning Methods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Inductive Research:</w:t>
      </w:r>
      <w:r>
        <w:t xml:space="preserve"> </w:t>
      </w:r>
      <w:r>
        <w:t xml:space="preserve">Inferring theoretical patterns from observed data (theory-building).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Deductive Research:</w:t>
      </w:r>
      <w:r>
        <w:t xml:space="preserve"> </w:t>
      </w:r>
      <w:r>
        <w:t xml:space="preserve">Testing known theoretical patterns using new empirical data (theory-testing).</w:t>
      </w:r>
    </w:p>
    <w:bookmarkEnd w:id="25"/>
    <w:bookmarkStart w:id="26" w:name="whettens-four-building-blocks-of-theory"/>
    <w:p>
      <w:pPr>
        <w:pStyle w:val="Heading2"/>
      </w:pPr>
      <w:r>
        <w:t xml:space="preserve">3.2 Whetten’s Four Building Blocks of Theory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Constructs (The What):</w:t>
      </w:r>
      <w:r>
        <w:t xml:space="preserve"> </w:t>
      </w:r>
      <w:r>
        <w:t xml:space="preserve">Identifying essential concepts.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Propositions (The How):</w:t>
      </w:r>
      <w:r>
        <w:t xml:space="preserve"> </w:t>
      </w:r>
      <w:r>
        <w:t xml:space="preserve">Stating structural relationships.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Logic (The Why):</w:t>
      </w:r>
      <w:r>
        <w:t xml:space="preserve"> </w:t>
      </w:r>
      <w:r>
        <w:t xml:space="preserve">Justifying the propositions (avoiding ad hoc correlations).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Boundary Conditions (The Who, When, Where):</w:t>
      </w:r>
      <w:r>
        <w:t xml:space="preserve"> </w:t>
      </w:r>
      <w:r>
        <w:t xml:space="preserve">Defining limits of generalizability. (cf. </w:t>
      </w:r>
      <w:r>
        <w:rPr>
          <w:b/>
          <w:bCs/>
        </w:rPr>
        <w:t xml:space="preserve">Scope Conditions</w:t>
      </w:r>
      <w:r>
        <w:t xml:space="preserve">)</w:t>
      </w:r>
    </w:p>
    <w:bookmarkEnd w:id="26"/>
    <w:bookmarkStart w:id="27" w:name="Xa26e34410f9f0b6590c3c6ce2c272cc46b58e22"/>
    <w:p>
      <w:pPr>
        <w:pStyle w:val="Heading2"/>
      </w:pPr>
      <w:r>
        <w:t xml:space="preserve">3.3 Evaluating Theory (The Scientific Method Checklist)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Parsimony:</w:t>
      </w:r>
      <w:r>
        <w:t xml:space="preserve"> </w:t>
      </w:r>
      <w:r>
        <w:t xml:space="preserve">Does it use the fewest variables possible (Logical Economy)?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Falsifiability:</w:t>
      </w:r>
      <w:r>
        <w:t xml:space="preserve"> </w:t>
      </w:r>
      <w:r>
        <w:t xml:space="preserve">Can the theory be disproven?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Precision:</w:t>
      </w:r>
      <w:r>
        <w:t xml:space="preserve"> </w:t>
      </w:r>
      <w:r>
        <w:t xml:space="preserve">Are concepts clearly defined for measurement?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Replicability:</w:t>
      </w:r>
      <w:r>
        <w:t xml:space="preserve"> </w:t>
      </w:r>
      <w:r>
        <w:t xml:space="preserve">Can independent researchers repeat the study?</w:t>
      </w:r>
    </w:p>
    <w:bookmarkEnd w:id="27"/>
    <w:bookmarkEnd w:id="28"/>
    <w:bookmarkStart w:id="31" w:name="X0185cc15853185981b967a3d323c73b898f9166"/>
    <w:p>
      <w:pPr>
        <w:pStyle w:val="Heading1"/>
      </w:pPr>
      <w:r>
        <w:t xml:space="preserve">4. 4. Seminar Application: Deconstructing Colgan (2017)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Internal logic (IV, DV, Hypothesis) rather than normative debate.</w:t>
      </w:r>
    </w:p>
    <w:bookmarkStart w:id="29" w:name="what-is-the-unit-of-analysis"/>
    <w:p>
      <w:pPr>
        <w:pStyle w:val="Heading2"/>
      </w:pPr>
      <w:r>
        <w:t xml:space="preserve">4.1 What is the Unit of Analysis?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The Syllabus.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Aggregation:</w:t>
      </w:r>
      <w:r>
        <w:t xml:space="preserve"> </w:t>
      </w:r>
      <w:r>
        <w:t xml:space="preserve">Collecting data at the syllabus level to aggregate to the professor level.</w:t>
      </w:r>
    </w:p>
    <w:bookmarkEnd w:id="29"/>
    <w:bookmarkStart w:id="30" w:name="structural-deconstruction"/>
    <w:p>
      <w:pPr>
        <w:pStyle w:val="Heading2"/>
      </w:pPr>
      <w:r>
        <w:t xml:space="preserve">4.2 Structural Deconstruction</w:t>
      </w:r>
    </w:p>
    <w:p>
      <w:pPr>
        <w:pStyle w:val="Compact"/>
        <w:numPr>
          <w:ilvl w:val="0"/>
          <w:numId w:val="1009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Independent Variable (IV):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Instructor Gender (Operationalized as binary)</w:t>
      </w:r>
    </w:p>
    <w:p>
      <w:pPr>
        <w:pStyle w:val="Compact"/>
        <w:numPr>
          <w:ilvl w:val="0"/>
          <w:numId w:val="1011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Dependent Variable (DV):</w:t>
      </w:r>
    </w:p>
    <w:p>
      <w:pPr>
        <w:pStyle w:val="Compact"/>
        <w:numPr>
          <w:ilvl w:val="0"/>
          <w:numId w:val="1012"/>
        </w:numPr>
      </w:pPr>
      <w:r>
        <w:t xml:space="preserve">Citation Diversity (Operationalized as an Index/Scale).</w:t>
      </w:r>
    </w:p>
    <w:p>
      <w:pPr>
        <w:pStyle w:val="Compact"/>
        <w:numPr>
          <w:ilvl w:val="0"/>
          <w:numId w:val="1013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Central Hypothesis:</w:t>
      </w:r>
    </w:p>
    <w:p>
      <w:pPr>
        <w:pStyle w:val="Compact"/>
        <w:numPr>
          <w:ilvl w:val="0"/>
          <w:numId w:val="1014"/>
        </w:numPr>
      </w:pPr>
      <w:r>
        <w:t xml:space="preserve">“The gender of the instructor (IV) has a positive effect on the gender-balance of citations (DV).”</w:t>
      </w:r>
    </w:p>
    <w:bookmarkEnd w:id="30"/>
    <w:bookmarkEnd w:id="31"/>
    <w:bookmarkStart w:id="38" w:name="Xae5f03980360f991745f817ca29c99047e3e22c"/>
    <w:p>
      <w:pPr>
        <w:pStyle w:val="Heading1"/>
      </w:pPr>
      <w:r>
        <w:t xml:space="preserve">5. 5. Discussion: Operationalization and Validity Challenges</w:t>
      </w:r>
    </w:p>
    <w:bookmarkStart w:id="32" w:name="operationalization"/>
    <w:p>
      <w:pPr>
        <w:pStyle w:val="Heading2"/>
      </w:pPr>
      <w:r>
        <w:t xml:space="preserve">5.1 Operationalization</w:t>
      </w:r>
    </w:p>
    <w:p>
      <w:pPr>
        <w:pStyle w:val="Compact"/>
        <w:numPr>
          <w:ilvl w:val="0"/>
          <w:numId w:val="1015"/>
        </w:numPr>
      </w:pPr>
      <w:r>
        <w:t xml:space="preserve">The rigorous process of developing specific indicators for abstract constructs (e.g., measuring</w:t>
      </w:r>
      <w:r>
        <w:t xml:space="preserve"> </w:t>
      </w:r>
      <w:r>
        <w:t xml:space="preserve">“Gender Bias”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What is Colgan’s approach?</w:t>
      </w:r>
    </w:p>
    <w:bookmarkEnd w:id="32"/>
    <w:bookmarkStart w:id="33" w:name="Xe26a27f3d85bbda7c6ccc838e89c4d8ff474376"/>
    <w:p>
      <w:pPr>
        <w:pStyle w:val="Heading2"/>
      </w:pPr>
      <w:r>
        <w:t xml:space="preserve">5.2 Threats to Validity (Three Conditions of Causality)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Covariation:</w:t>
      </w:r>
      <w:r>
        <w:t xml:space="preserve"> </w:t>
      </w:r>
      <w:r>
        <w:t xml:space="preserve">Cause and effect must correlate.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Temporal Precedence:</w:t>
      </w:r>
      <w:r>
        <w:t xml:space="preserve"> </w:t>
      </w:r>
      <w:r>
        <w:t xml:space="preserve">Cause must precede effect.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Plausible Alternative Explanation:</w:t>
      </w:r>
      <w:r>
        <w:t xml:space="preserve"> </w:t>
      </w:r>
      <w:r>
        <w:t xml:space="preserve">Ruling out spurious correlations such as?</w:t>
      </w:r>
    </w:p>
    <w:p>
      <w:pPr>
        <w:pStyle w:val="Compact"/>
        <w:numPr>
          <w:ilvl w:val="0"/>
          <w:numId w:val="1018"/>
        </w:numPr>
      </w:pPr>
      <w:r>
        <w:t xml:space="preserve">sub-field influence</w:t>
      </w:r>
    </w:p>
    <w:bookmarkEnd w:id="33"/>
    <w:bookmarkStart w:id="34" w:name="analytical-provocations"/>
    <w:p>
      <w:pPr>
        <w:pStyle w:val="Heading2"/>
      </w:pPr>
      <w:r>
        <w:t xml:space="preserve">5.3 Analytical Provocations</w:t>
      </w:r>
    </w:p>
    <w:p>
      <w:pPr>
        <w:pStyle w:val="FirstParagraph"/>
      </w:pPr>
      <w:r>
        <w:rPr>
          <w:b/>
          <w:bCs/>
        </w:rPr>
        <w:t xml:space="preserve">Parsimony:</w:t>
      </w:r>
      <w:r>
        <w:t xml:space="preserve"> </w:t>
      </w:r>
      <w:r>
        <w:t xml:space="preserve">Does the study ignore simpler explanations. What might they be?</w:t>
      </w:r>
    </w:p>
    <w:p>
      <w:pPr>
        <w:numPr>
          <w:ilvl w:val="0"/>
          <w:numId w:val="1019"/>
        </w:numPr>
      </w:pPr>
      <w:r>
        <w:t xml:space="preserve">historical IR canon is male dominated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but then why the gender difference in syllabi</w:t>
      </w:r>
      <w:r>
        <w:br/>
      </w:r>
      <w:r>
        <w:rPr>
          <w:rStyle w:val="VerbatimChar"/>
        </w:rPr>
        <w:t xml:space="preserve">  - is the effect male bias or female instructors correcting for historical imbalance? </w:t>
      </w:r>
    </w:p>
    <w:p>
      <w:pPr>
        <w:numPr>
          <w:ilvl w:val="0"/>
          <w:numId w:val="1019"/>
        </w:numPr>
      </w:pPr>
      <w:r>
        <w:t xml:space="preserve">institutional factors (e.g., department culture)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a different form of bias?</w:t>
      </w:r>
      <w:r>
        <w:br/>
      </w:r>
      <w:r>
        <w:rPr>
          <w:rStyle w:val="VerbatimChar"/>
        </w:rPr>
        <w:t xml:space="preserve">  - hiring and promotion bias?</w:t>
      </w:r>
    </w:p>
    <w:bookmarkEnd w:id="34"/>
    <w:bookmarkStart w:id="35" w:name="analytical-provocations-2"/>
    <w:p>
      <w:pPr>
        <w:pStyle w:val="Heading2"/>
      </w:pPr>
      <w:r>
        <w:t xml:space="preserve">5.4 Analytical Provocations 2</w:t>
      </w:r>
    </w:p>
    <w:p>
      <w:pPr>
        <w:pStyle w:val="FirstParagraph"/>
      </w:pPr>
      <w:r>
        <w:rPr>
          <w:b/>
          <w:bCs/>
        </w:rPr>
        <w:t xml:space="preserve">Reliability:</w:t>
      </w:r>
      <w:r>
        <w:t xml:space="preserve"> </w:t>
      </w:r>
      <w:r>
        <w:t xml:space="preserve">Would different researchers code the data identically (Inter-rater reliability)?</w:t>
      </w:r>
    </w:p>
    <w:p>
      <w:pPr>
        <w:pStyle w:val="Compact"/>
        <w:numPr>
          <w:ilvl w:val="0"/>
          <w:numId w:val="1020"/>
        </w:numPr>
      </w:pPr>
      <w:r>
        <w:t xml:space="preserve">Imagine you are a Research Assistant coding</w:t>
      </w:r>
      <w:r>
        <w:t xml:space="preserve"> </w:t>
      </w:r>
      <w:r>
        <w:t xml:space="preserve">‘Author Gender’</w:t>
      </w:r>
      <w:r>
        <w:t xml:space="preserve"> </w:t>
      </w:r>
      <w:r>
        <w:t xml:space="preserve">for this study. You encounter citations for</w:t>
      </w:r>
      <w:r>
        <w:t xml:space="preserve"> </w:t>
      </w:r>
      <w:r>
        <w:t xml:space="preserve">‘J. Smith,’</w:t>
      </w:r>
      <w:r>
        <w:t xml:space="preserve"> </w:t>
      </w:r>
      <w:r>
        <w:t xml:space="preserve">‘Alex Morgan,’</w:t>
      </w:r>
      <w:r>
        <w:t xml:space="preserve"> </w:t>
      </w:r>
      <w:r>
        <w:t xml:space="preserve">or names from cultures with naming conventions you are unfamiliar with. If you have to</w:t>
      </w:r>
      <w:r>
        <w:t xml:space="preserve"> </w:t>
      </w:r>
      <w:r>
        <w:t xml:space="preserve">‘guess’</w:t>
      </w:r>
      <w:r>
        <w:t xml:space="preserve"> </w:t>
      </w:r>
      <w:r>
        <w:t xml:space="preserve">the gender, you introduce measurement error. If we cannot achieve 100% agreement between two coders on who is</w:t>
      </w:r>
      <w:r>
        <w:t xml:space="preserve"> </w:t>
      </w:r>
      <w:r>
        <w:t xml:space="preserve">‘male’</w:t>
      </w:r>
      <w:r>
        <w:t xml:space="preserve"> </w:t>
      </w:r>
      <w:r>
        <w:t xml:space="preserve">or</w:t>
      </w:r>
      <w:r>
        <w:t xml:space="preserve"> </w:t>
      </w:r>
      <w:r>
        <w:t xml:space="preserve">‘female,’</w:t>
      </w:r>
      <w:r>
        <w:t xml:space="preserve"> </w:t>
      </w:r>
      <w:r>
        <w:t xml:space="preserve">does this invalidate the entire dependent variable? How would you design a coding protocol to handle these ambiguities without discarding data?</w:t>
      </w:r>
    </w:p>
    <w:bookmarkEnd w:id="35"/>
    <w:bookmarkStart w:id="36" w:name="analytical-provocations-3"/>
    <w:p>
      <w:pPr>
        <w:pStyle w:val="Heading2"/>
      </w:pPr>
      <w:r>
        <w:t xml:space="preserve">5.5 Analytical Provocations 3</w:t>
      </w:r>
    </w:p>
    <w:p>
      <w:pPr>
        <w:pStyle w:val="FirstParagraph"/>
      </w:pPr>
      <w:r>
        <w:rPr>
          <w:b/>
          <w:bCs/>
        </w:rPr>
        <w:t xml:space="preserve">Internal Validity:</w:t>
      </w:r>
      <w:r>
        <w:t xml:space="preserve"> </w:t>
      </w:r>
      <w:r>
        <w:t xml:space="preserve">The text suggests that</w:t>
      </w:r>
      <w:r>
        <w:t xml:space="preserve"> </w:t>
      </w:r>
      <w:r>
        <w:t xml:space="preserve">‘inheriting’</w:t>
      </w:r>
      <w:r>
        <w:t xml:space="preserve"> </w:t>
      </w:r>
      <w:r>
        <w:t xml:space="preserve">a syllabus violates temporal precedence. In many departments, the</w:t>
      </w:r>
      <w:r>
        <w:t xml:space="preserve"> </w:t>
      </w:r>
      <w:r>
        <w:t xml:space="preserve">‘Intro to IR’</w:t>
      </w:r>
      <w:r>
        <w:t xml:space="preserve"> </w:t>
      </w:r>
      <w:r>
        <w:t xml:space="preserve">syllabus is standardized by a committee. If a female adjunct is hired to teach a course designed by a male committee three years ago, her gender had zero influence on the citations. If the study does not control for</w:t>
      </w:r>
      <w:r>
        <w:t xml:space="preserve"> </w:t>
      </w:r>
      <w:r>
        <w:t xml:space="preserve">‘Syllabus Autonomy’</w:t>
      </w:r>
      <w:r>
        <w:t xml:space="preserve"> </w:t>
      </w:r>
      <w:r>
        <w:t xml:space="preserve">(who actually wrote it), are we seeing a spurious correlation? How would you redesign the survey to ensure the instructor actually created the document?</w:t>
      </w:r>
    </w:p>
    <w:bookmarkEnd w:id="36"/>
    <w:bookmarkStart w:id="37" w:name="analytical-provocations-4"/>
    <w:p>
      <w:pPr>
        <w:pStyle w:val="Heading2"/>
      </w:pPr>
      <w:r>
        <w:t xml:space="preserve">5.6 Analytical Provocations 4</w:t>
      </w:r>
    </w:p>
    <w:p>
      <w:pPr>
        <w:pStyle w:val="FirstParagraph"/>
      </w:pPr>
      <w:r>
        <w:rPr>
          <w:b/>
          <w:bCs/>
        </w:rPr>
        <w:t xml:space="preserve">Generalizability (External Validity):</w:t>
      </w:r>
      <w:r>
        <w:t xml:space="preserve"> </w:t>
      </w:r>
      <w:r>
        <w:t xml:space="preserve">Do findings apply to other contexts (e.g., undergraduate vs. graduate)?</w:t>
      </w:r>
    </w:p>
    <w:p>
      <w:pPr>
        <w:pStyle w:val="BodyText"/>
      </w:pPr>
      <w:r>
        <w:t xml:space="preserve">Colgan’s study specifically examines graduate-level IR syllabi. Graduate students are training for comprehensive exams, which forces instructors to include specific</w:t>
      </w:r>
      <w:r>
        <w:t xml:space="preserve"> </w:t>
      </w:r>
      <w:r>
        <w:t xml:space="preserve">‘foundational’</w:t>
      </w:r>
      <w:r>
        <w:t xml:space="preserve"> </w:t>
      </w:r>
      <w:r>
        <w:t xml:space="preserve">texts (often older, often male). Would you expect the same hypothesis to hold true in a course on</w:t>
      </w:r>
      <w:r>
        <w:t xml:space="preserve"> </w:t>
      </w:r>
      <w:r>
        <w:t xml:space="preserve">‘Political Terrorism,’</w:t>
      </w:r>
      <w:r>
        <w:t xml:space="preserve"> </w:t>
      </w:r>
      <w:r>
        <w:t xml:space="preserve">(like Dr. Bagashka’s excellent course here) where she has total freedom to choose the readings and they are likely more contemporary?</w:t>
      </w:r>
    </w:p>
    <w:bookmarkEnd w:id="37"/>
    <w:bookmarkEnd w:id="38"/>
    <w:bookmarkStart w:id="43" w:name="conclusion"/>
    <w:p>
      <w:pPr>
        <w:pStyle w:val="Heading1"/>
      </w:pPr>
      <w:r>
        <w:t xml:space="preserve">6. 6. Conclusion</w:t>
      </w:r>
    </w:p>
    <w:p>
      <w:pPr>
        <w:pStyle w:val="Compact"/>
        <w:numPr>
          <w:ilvl w:val="0"/>
          <w:numId w:val="1021"/>
        </w:numPr>
      </w:pPr>
      <w:r>
        <w:t xml:space="preserve">Mastery of research architecture transforms the scholar from a kay consumer of information to a critical scientific evaluator.</w:t>
      </w:r>
    </w:p>
    <w:p>
      <w:pPr>
        <w:pStyle w:val="Compact"/>
        <w:numPr>
          <w:ilvl w:val="0"/>
          <w:numId w:val="1021"/>
        </w:numPr>
      </w:pPr>
      <w:r>
        <w:t xml:space="preserve">This is valuable in professional roles in policy, law, consulting, and academic research.</w:t>
      </w:r>
    </w:p>
    <w:bookmarkStart w:id="42" w:name="authorship-license-credits"/>
    <w:p>
      <w:pPr>
        <w:pStyle w:val="Heading2"/>
      </w:pPr>
      <w:r>
        <w:t xml:space="preserve">6.1 Authorship, License, Credits</w:t>
      </w:r>
    </w:p>
    <w:p>
      <w:pPr>
        <w:numPr>
          <w:ilvl w:val="0"/>
          <w:numId w:val="1022"/>
        </w:numPr>
      </w:pPr>
      <w:r>
        <w:t xml:space="preserve">Author: Tom Hanna</w:t>
      </w:r>
    </w:p>
    <w:p>
      <w:pPr>
        <w:numPr>
          <w:ilvl w:val="0"/>
          <w:numId w:val="1022"/>
        </w:numPr>
      </w:pPr>
      <w:r>
        <w:t xml:space="preserve">Website:</w:t>
      </w:r>
      <w:r>
        <w:t xml:space="preserve"> </w:t>
      </w:r>
      <w:r>
        <w:t xml:space="preserve">tomhanna.me</w:t>
      </w:r>
    </w:p>
    <w:p>
      <w:pPr>
        <w:numPr>
          <w:ilvl w:val="0"/>
          <w:numId w:val="1022"/>
        </w:numPr>
      </w:pPr>
      <w:r>
        <w:t xml:space="preserve">License: This work is licensed under a</w:t>
      </w:r>
      <w:r>
        <w:t xml:space="preserve"> </w:t>
      </w:r>
      <w:r>
        <w:t xml:space="preserve">Creative Commons Attribution-NonCommercial-ShareAlike 4.0 International License.&lt;/&gt;</w:t>
      </w:r>
    </w:p>
    <w:p>
      <w:pPr>
        <w:pStyle w:val="FirstParagraph"/>
      </w:pPr>
      <w:r>
        <w:drawing>
          <wp:inline>
            <wp:extent cx="1117600" cy="393700"/>
            <wp:effectExtent b="0" l="0" r="0" t="0"/>
            <wp:docPr descr="Creative Commons License" title="" id="40" name="Picture"/>
            <a:graphic>
              <a:graphicData uri="http://schemas.openxmlformats.org/drawingml/2006/picture">
                <pic:pic>
                  <pic:nvPicPr>
                    <pic:cNvPr descr="creative_commons_licens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sectPr w:rsidR="0098481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41039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170232358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 Hanna</dc:creator>
  <cp:keywords/>
  <dcterms:created xsi:type="dcterms:W3CDTF">2026-03-02T04:05:36Z</dcterms:created>
  <dcterms:modified xsi:type="dcterms:W3CDTF">2026-03-02T04:05:36Z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2027-01-31</vt:lpwstr>
  </property>
  <property fmtid="{D5CDD505-2E9C-101B-9397-08002B2CF9AE}" pid="6" name="editor">
    <vt:lpwstr>source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