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6: Law of Large Numbers, Central Limit Theorem, &amp; Correlation</w:t>
      </w:r>
    </w:p>
    <w:p>
      <w:pPr>
        <w:pStyle w:val="Author"/>
      </w:pPr>
      <w:r>
        <w:t xml:space="preserve">Tom Hanna</w:t>
      </w:r>
    </w:p>
    <w:p>
      <w:pPr>
        <w:pStyle w:val="Date"/>
      </w:pPr>
      <w:r>
        <w:t xml:space="preserve">2026-03-01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agenda-and-announcements"/>
    <w:p>
      <w:pPr>
        <w:pStyle w:val="Heading1"/>
      </w:pPr>
      <w:r>
        <w:t xml:space="preserve">1. Agenda and Announcements</w:t>
      </w:r>
    </w:p>
    <w:p>
      <w:pPr>
        <w:numPr>
          <w:ilvl w:val="0"/>
          <w:numId w:val="1001"/>
        </w:numPr>
      </w:pPr>
      <w:r>
        <w:t xml:space="preserve">Today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Hypothesis Testing and Confidence Intervals</w:t>
      </w:r>
      <w:r>
        <w:br/>
      </w:r>
      <w:r>
        <w:rPr>
          <w:rStyle w:val="VerbatimChar"/>
        </w:rPr>
        <w:t xml:space="preserve">  - Top Hat Quiz</w:t>
      </w:r>
    </w:p>
    <w:p>
      <w:pPr>
        <w:numPr>
          <w:ilvl w:val="0"/>
          <w:numId w:val="1001"/>
        </w:numPr>
      </w:pPr>
      <w:r>
        <w:t xml:space="preserve">Next class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Lab 3 completion</w:t>
      </w:r>
    </w:p>
    <w:bookmarkStart w:id="20" w:name="section"/>
    <w:p>
      <w:pPr>
        <w:pStyle w:val="Heading2"/>
      </w:pPr>
      <w:r>
        <w:t xml:space="preserve">1.1</w:t>
      </w:r>
      <w:r>
        <w:t xml:space="preserve"> </w:t>
      </w:r>
    </w:p>
    <w:p>
      <w:pPr>
        <w:numPr>
          <w:ilvl w:val="0"/>
          <w:numId w:val="1002"/>
        </w:numPr>
      </w:pPr>
      <w:r>
        <w:t xml:space="preserve">Announcements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CASA Registration</w:t>
      </w:r>
      <w:r>
        <w:br/>
      </w:r>
      <w:r>
        <w:rPr>
          <w:rStyle w:val="VerbatimChar"/>
        </w:rPr>
        <w:t xml:space="preserve">  - No class next Monday or Tuesday (March 10) </w:t>
      </w:r>
      <w:r>
        <w:br/>
      </w:r>
      <w:r>
        <w:rPr>
          <w:rStyle w:val="VerbatimChar"/>
        </w:rPr>
        <w:t xml:space="preserve">  - I will record a midterm review and post an online pre-midterm quiz **for points**</w:t>
      </w:r>
    </w:p>
    <w:bookmarkEnd w:id="20"/>
    <w:bookmarkEnd w:id="21"/>
    <w:bookmarkStart w:id="48" w:name="hypothesis-testing"/>
    <w:p>
      <w:pPr>
        <w:pStyle w:val="Heading1"/>
      </w:pPr>
      <w:r>
        <w:t xml:space="preserve">2. Hypothesis testing</w:t>
      </w:r>
    </w:p>
    <w:bookmarkStart w:id="22" w:name="what-is-a-hypothesis"/>
    <w:p>
      <w:pPr>
        <w:pStyle w:val="Heading2"/>
      </w:pPr>
      <w:r>
        <w:t xml:space="preserve">2.1 What is a hypothesis</w:t>
      </w:r>
    </w:p>
    <w:p>
      <w:pPr>
        <w:pStyle w:val="FirstParagraph"/>
      </w:pPr>
      <w:r>
        <w:t xml:space="preserve">A falsifiable statement about what we believe will happen based on the theory we are trying to test.</w:t>
      </w:r>
    </w:p>
    <w:bookmarkEnd w:id="22"/>
    <w:bookmarkStart w:id="23" w:name="falsifiability"/>
    <w:p>
      <w:pPr>
        <w:pStyle w:val="Heading2"/>
      </w:pPr>
      <w:r>
        <w:t xml:space="preserve">2.2 Falsifiability</w:t>
      </w:r>
    </w:p>
    <w:p>
      <w:pPr>
        <w:pStyle w:val="Compact"/>
        <w:numPr>
          <w:ilvl w:val="0"/>
          <w:numId w:val="1003"/>
        </w:numPr>
      </w:pPr>
      <w:r>
        <w:t xml:space="preserve">We start from the assumption that our theory is wrong</w:t>
      </w:r>
    </w:p>
    <w:p>
      <w:pPr>
        <w:pStyle w:val="Compact"/>
        <w:numPr>
          <w:ilvl w:val="0"/>
          <w:numId w:val="1003"/>
        </w:numPr>
      </w:pPr>
      <w:r>
        <w:t xml:space="preserve">Our hypothesis is called the</w:t>
      </w:r>
    </w:p>
    <w:p>
      <w:pPr>
        <w:pStyle w:val="FirstParagraph"/>
      </w:pPr>
      <w:r>
        <w:rPr>
          <w:b/>
          <w:bCs/>
        </w:rPr>
        <w:t xml:space="preserve">alternative hypothesis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H1</w:t>
      </w:r>
    </w:p>
    <w:p>
      <w:pPr>
        <w:pStyle w:val="Compact"/>
        <w:numPr>
          <w:ilvl w:val="0"/>
          <w:numId w:val="1004"/>
        </w:numPr>
      </w:pPr>
      <w:r>
        <w:t xml:space="preserve">because it is the alternative to our assumption of no relationship</w:t>
      </w:r>
    </w:p>
    <w:p>
      <w:pPr>
        <w:pStyle w:val="FirstParagraph"/>
      </w:pPr>
      <w:r>
        <w:rPr>
          <w:b/>
          <w:bCs/>
        </w:rPr>
        <w:t xml:space="preserve">null hypothesis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H0</w:t>
      </w:r>
    </w:p>
    <w:bookmarkEnd w:id="23"/>
    <w:bookmarkStart w:id="24" w:name="testing-the-null-hypothesis"/>
    <w:p>
      <w:pPr>
        <w:pStyle w:val="Heading2"/>
      </w:pPr>
      <w:r>
        <w:t xml:space="preserve">2.3 Testing the null hypothesis</w:t>
      </w:r>
    </w:p>
    <w:p>
      <w:pPr>
        <w:pStyle w:val="Compact"/>
        <w:numPr>
          <w:ilvl w:val="0"/>
          <w:numId w:val="1005"/>
        </w:numPr>
      </w:pPr>
      <w:r>
        <w:t xml:space="preserve">Statistical tests show the degree of certainty that we can reject the null hypothesis</w:t>
      </w:r>
    </w:p>
    <w:p>
      <w:pPr>
        <w:pStyle w:val="Compact"/>
        <w:numPr>
          <w:ilvl w:val="0"/>
          <w:numId w:val="1005"/>
        </w:numPr>
      </w:pPr>
      <w:r>
        <w:t xml:space="preserve">They show the probability that the alternative hypothesis is due to random chance</w:t>
      </w:r>
    </w:p>
    <w:p>
      <w:pPr>
        <w:pStyle w:val="Compact"/>
        <w:numPr>
          <w:ilvl w:val="0"/>
          <w:numId w:val="1005"/>
        </w:numPr>
      </w:pPr>
      <w:r>
        <w:t xml:space="preserve">When the probability,</w:t>
      </w:r>
      <w:r>
        <w:t xml:space="preserve"> </w:t>
      </w:r>
      <w:r>
        <w:rPr>
          <w:i/>
          <w:iCs/>
        </w:rPr>
        <w:t xml:space="preserve">p</w:t>
      </w:r>
      <w:r>
        <w:t xml:space="preserve">, is below our pre-determined threshold, we reject the null hypothesis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If we reject the null hypothesis, the alternative hypothesis is true, right?</w:t>
      </w:r>
    </w:p>
    <w:bookmarkEnd w:id="24"/>
    <w:bookmarkStart w:id="25" w:name="no"/>
    <w:p>
      <w:pPr>
        <w:pStyle w:val="Heading2"/>
      </w:pPr>
      <w:r>
        <w:t xml:space="preserve">2.4 NO!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If we reject the null hypothesis, the alternative hypothesis is true, right?</w:t>
      </w:r>
    </w:p>
    <w:p>
      <w:pPr>
        <w:pStyle w:val="FirstParagraph"/>
      </w:pPr>
      <w:r>
        <w:rPr>
          <w:b/>
          <w:bCs/>
        </w:rPr>
        <w:t xml:space="preserve">NO!!!!</w:t>
      </w:r>
    </w:p>
    <w:p>
      <w:pPr>
        <w:pStyle w:val="Compact"/>
        <w:numPr>
          <w:ilvl w:val="0"/>
          <w:numId w:val="1007"/>
        </w:numPr>
      </w:pPr>
      <w:r>
        <w:t xml:space="preserve">If we reject the null, we infer that the alternative hypothesis (our hypothesis) is approximately true within the probability we have chosen.</w:t>
      </w:r>
    </w:p>
    <w:p>
      <w:pPr>
        <w:pStyle w:val="Compact"/>
        <w:numPr>
          <w:ilvl w:val="0"/>
          <w:numId w:val="1007"/>
        </w:numPr>
      </w:pPr>
      <w:r>
        <w:t xml:space="preserve">If we reject the null, we can say there is strong evidence that the alternative hypothesis (our hypothesis) is true</w:t>
      </w:r>
    </w:p>
    <w:p>
      <w:pPr>
        <w:pStyle w:val="Compact"/>
        <w:numPr>
          <w:ilvl w:val="0"/>
          <w:numId w:val="1007"/>
        </w:numPr>
      </w:pPr>
      <w:r>
        <w:t xml:space="preserve">We often test multiple hypotheses</w:t>
      </w:r>
    </w:p>
    <w:bookmarkEnd w:id="25"/>
    <w:bookmarkStart w:id="26" w:name="how-do-we-get-there"/>
    <w:p>
      <w:pPr>
        <w:pStyle w:val="Heading2"/>
      </w:pPr>
      <w:r>
        <w:t xml:space="preserve">2.5 How do we get there?</w:t>
      </w:r>
    </w:p>
    <w:p>
      <w:pPr>
        <w:pStyle w:val="FirstParagraph"/>
      </w:pPr>
      <w:r>
        <w:rPr>
          <w:b/>
          <w:bCs/>
        </w:rPr>
        <w:t xml:space="preserve">How do we get from a sample with a correlation to talking about testing a hypothesis for a population?</w:t>
      </w:r>
    </w:p>
    <w:p>
      <w:pPr>
        <w:pStyle w:val="Compact"/>
        <w:numPr>
          <w:ilvl w:val="0"/>
          <w:numId w:val="1008"/>
        </w:numPr>
      </w:pPr>
      <w:r>
        <w:t xml:space="preserve">Tying sample statistics to population parameters (LLN)</w:t>
      </w:r>
    </w:p>
    <w:p>
      <w:pPr>
        <w:pStyle w:val="Compact"/>
        <w:numPr>
          <w:ilvl w:val="0"/>
          <w:numId w:val="1008"/>
        </w:numPr>
      </w:pPr>
      <w:r>
        <w:t xml:space="preserve">Probability distributions</w:t>
      </w:r>
    </w:p>
    <w:p>
      <w:pPr>
        <w:pStyle w:val="Compact"/>
        <w:numPr>
          <w:ilvl w:val="0"/>
          <w:numId w:val="1008"/>
        </w:numPr>
      </w:pPr>
      <w:r>
        <w:t xml:space="preserve">Tying our data to the probability distributions (CLT)</w:t>
      </w:r>
    </w:p>
    <w:bookmarkEnd w:id="26"/>
    <w:bookmarkStart w:id="27" w:name="statistics-to-parameters"/>
    <w:p>
      <w:pPr>
        <w:pStyle w:val="Heading2"/>
      </w:pPr>
      <w:r>
        <w:t xml:space="preserve">2.6 Statistics to parameters</w:t>
      </w:r>
    </w:p>
    <w:p>
      <w:pPr>
        <w:pStyle w:val="Compact"/>
        <w:numPr>
          <w:ilvl w:val="0"/>
          <w:numId w:val="1009"/>
        </w:numPr>
      </w:pPr>
      <w:r>
        <w:t xml:space="preserve">We rely on the Law of Large Numbers and use sample statistics</w:t>
      </w:r>
    </w:p>
    <w:p>
      <w:pPr>
        <w:pStyle w:val="Compact"/>
        <w:numPr>
          <w:ilvl w:val="0"/>
          <w:numId w:val="1009"/>
        </w:numPr>
      </w:pPr>
      <w:r>
        <w:t xml:space="preserve">With sufficient sample size and proper math, our sample mean is an unbiased estimator of the population mean</w:t>
      </w:r>
    </w:p>
    <w:p>
      <w:pPr>
        <w:pStyle w:val="Compact"/>
        <w:numPr>
          <w:ilvl w:val="0"/>
          <w:numId w:val="1009"/>
        </w:numPr>
      </w:pPr>
      <w:r>
        <w:t xml:space="preserve">With CLT,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unbiased and consistent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For the normal distribution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the Minimum Variance Unbiased Estimator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End w:id="27"/>
    <w:bookmarkStart w:id="28" w:name="probability-distributions"/>
    <w:p>
      <w:pPr>
        <w:pStyle w:val="Heading2"/>
      </w:pPr>
      <w:r>
        <w:t xml:space="preserve">2.7 Probability distributions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68-95-99.7 Rule</w:t>
      </w:r>
    </w:p>
    <w:p>
      <w:pPr>
        <w:pStyle w:val="SourceCode"/>
      </w:pPr>
      <w:r>
        <w:rPr>
          <w:rStyle w:val="VerbatimChar"/>
        </w:rPr>
        <w:t xml:space="preserve">            + Allows us to estimate probability based on distance from the mean</w:t>
      </w:r>
      <w:r>
        <w:br/>
      </w:r>
      <w:r>
        <w:rPr>
          <w:rStyle w:val="VerbatimChar"/>
        </w:rPr>
        <w:t xml:space="preserve">            + Applies to normal distribution</w:t>
      </w:r>
      <w:r>
        <w:br/>
      </w:r>
      <w:r>
        <w:rPr>
          <w:rStyle w:val="VerbatimChar"/>
        </w:rPr>
        <w:t xml:space="preserve">            + Basis for the actual decision rules</w:t>
      </w:r>
      <w:r>
        <w:br/>
      </w:r>
      <w:r>
        <w:rPr>
          <w:rStyle w:val="VerbatimChar"/>
        </w:rPr>
        <w:t xml:space="preserve">            </w:t>
      </w:r>
    </w:p>
    <w:bookmarkEnd w:id="28"/>
    <w:bookmarkStart w:id="32" w:name="the-68-95-99.7-rule"/>
    <w:p>
      <w:pPr>
        <w:pStyle w:val="Heading2"/>
      </w:pPr>
      <w:r>
        <w:t xml:space="preserve">2.8 The 68-95-99.7 Rule</w:t>
      </w:r>
    </w:p>
    <w:p>
      <w:pPr>
        <w:pStyle w:val="CaptionedFigure"/>
      </w:pPr>
      <w:r>
        <w:drawing>
          <wp:inline>
            <wp:extent cx="5943600" cy="2971800"/>
            <wp:effectExtent b="0" l="0" r="0" t="0"/>
            <wp:docPr descr="68-95-99.7 rule" title="" id="30" name="Picture"/>
            <a:graphic>
              <a:graphicData uri="http://schemas.openxmlformats.org/drawingml/2006/picture">
                <pic:pic>
                  <pic:nvPicPr>
                    <pic:cNvPr descr="68-95-99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68-95-99.7 rule</w:t>
      </w:r>
    </w:p>
    <w:bookmarkEnd w:id="32"/>
    <w:bookmarkStart w:id="33" w:name="from-distribution-to-confidence"/>
    <w:p>
      <w:pPr>
        <w:pStyle w:val="Heading2"/>
      </w:pPr>
      <w:r>
        <w:t xml:space="preserve">2.9 From Distribution to Confidence</w:t>
      </w:r>
    </w:p>
    <w:p>
      <w:pPr>
        <w:numPr>
          <w:ilvl w:val="0"/>
          <w:numId w:val="1010"/>
        </w:numPr>
      </w:pPr>
      <w:r>
        <w:t xml:space="preserve">We can now bridge the gap between probability distributions and our sample data.</w:t>
      </w:r>
    </w:p>
    <w:p>
      <w:pPr>
        <w:numPr>
          <w:ilvl w:val="0"/>
          <w:numId w:val="1010"/>
        </w:numPr>
      </w:pPr>
      <w:r>
        <w:t xml:space="preserve">CLT ties our sample means to the normal distribution</w:t>
      </w:r>
    </w:p>
    <w:p>
      <w:pPr>
        <w:numPr>
          <w:ilvl w:val="0"/>
          <w:numId w:val="1010"/>
        </w:numPr>
      </w:pPr>
      <w:r>
        <w:t xml:space="preserve">Sample stats are unbiased estimators of population parameters</w:t>
      </w:r>
    </w:p>
    <w:p>
      <w:pPr>
        <w:numPr>
          <w:ilvl w:val="0"/>
          <w:numId w:val="1010"/>
        </w:numPr>
      </w:pPr>
      <w:r>
        <w:t xml:space="preserve">They are only</w:t>
      </w:r>
      <w:r>
        <w:t xml:space="preserve"> </w:t>
      </w:r>
      <w:r>
        <w:rPr>
          <w:i/>
          <w:iCs/>
        </w:rPr>
        <w:t xml:space="preserve">point estimates</w:t>
      </w:r>
      <w:r>
        <w:t xml:space="preserve">, so we construct a</w:t>
      </w:r>
      <w:r>
        <w:t xml:space="preserve"> </w:t>
      </w:r>
      <w:r>
        <w:rPr>
          <w:i/>
          <w:iCs/>
        </w:rPr>
        <w:t xml:space="preserve">confidence interval</w:t>
      </w:r>
    </w:p>
    <w:p>
      <w:pPr>
        <w:numPr>
          <w:ilvl w:val="0"/>
          <w:numId w:val="1010"/>
        </w:numPr>
      </w:pPr>
      <w:r>
        <w:rPr>
          <w:i/>
          <w:iCs/>
        </w:rPr>
        <w:t xml:space="preserve">confidence interval</w:t>
      </w:r>
      <w:r>
        <w:t xml:space="preserve"> </w:t>
      </w:r>
      <w:r>
        <w:t xml:space="preserve">a range of values around the</w:t>
      </w:r>
      <w:r>
        <w:t xml:space="preserve"> </w:t>
      </w:r>
      <w:r>
        <w:rPr>
          <w:i/>
          <w:iCs/>
        </w:rPr>
        <w:t xml:space="preserve">point estimate</w:t>
      </w:r>
      <w:r>
        <w:t xml:space="preserve"> </w:t>
      </w:r>
      <w:r>
        <w:t xml:space="preserve">that we are X% confident contains the true population parameter</w:t>
      </w:r>
    </w:p>
    <w:bookmarkEnd w:id="33"/>
    <w:bookmarkStart w:id="34" w:name="X56f3bb0b0e0ed343784bc69338dfdac3ac11364"/>
    <w:p>
      <w:pPr>
        <w:pStyle w:val="Heading2"/>
      </w:pPr>
      <w:r>
        <w:t xml:space="preserve">2.10 Math and philosophy of the confidence interval</w:t>
      </w:r>
    </w:p>
    <w:p>
      <w:pPr>
        <w:pStyle w:val="Compact"/>
        <w:numPr>
          <w:ilvl w:val="0"/>
          <w:numId w:val="1011"/>
        </w:numPr>
      </w:pPr>
      <w:r>
        <w:t xml:space="preserve">Math and philosophy detail: The true population parameter is a fixed but unknown number, while our calculated interval is random but known with certainty. Our X percent confidence reflects the long-run reliability of our method. If we repeated this exact sampling process 100 times, X of the resulting intervals would successfully capture the true population parameter.</w:t>
      </w:r>
    </w:p>
    <w:p>
      <w:r>
        <w:pict>
          <v:rect style="width:0;height:1.5pt" o:hralign="center" o:hrstd="t" o:hr="t"/>
        </w:pict>
      </w:r>
    </w:p>
    <w:bookmarkEnd w:id="34"/>
    <w:bookmarkStart w:id="35" w:name="calculating-the-interval"/>
    <w:p>
      <w:pPr>
        <w:pStyle w:val="Heading2"/>
      </w:pPr>
      <w:r>
        <w:t xml:space="preserve">2.11 Calculating the Interval</w:t>
      </w:r>
    </w:p>
    <w:p>
      <w:pPr>
        <w:numPr>
          <w:ilvl w:val="0"/>
          <w:numId w:val="1012"/>
        </w:numPr>
      </w:pPr>
      <w:r>
        <w:t xml:space="preserve">we need three pieces of information: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- point estimate = sample statistics</w:t>
      </w:r>
      <w:r>
        <w:br/>
      </w:r>
      <w:r>
        <w:rPr>
          <w:rStyle w:val="VerbatimChar"/>
        </w:rPr>
        <w:t xml:space="preserve">  - standard error = the standard deviation of the sampling distribution</w:t>
      </w:r>
      <w:r>
        <w:br/>
      </w:r>
      <w:r>
        <w:rPr>
          <w:rStyle w:val="VerbatimChar"/>
        </w:rPr>
        <w:t xml:space="preserve">  - critical value derived from our desired confidence level - for normal distribution this is a z-score</w:t>
      </w:r>
      <w:r>
        <w:br/>
      </w:r>
      <w:r>
        <w:rPr>
          <w:rStyle w:val="VerbatimChar"/>
        </w:rPr>
        <w:t xml:space="preserve">  - For 95% confidence, the critical z is 1.96</w:t>
      </w:r>
    </w:p>
    <w:p>
      <w:pPr>
        <w:numPr>
          <w:ilvl w:val="0"/>
          <w:numId w:val="1012"/>
        </w:numPr>
      </w:pPr>
      <w:r>
        <w:t xml:space="preserve">The general formula for a confidence interval is: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z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</m:oMath>
      </m:oMathPara>
    </w:p>
    <w:p>
      <w:pPr>
        <w:pStyle w:val="FirstParagraph"/>
      </w:pPr>
      <w:r>
        <w:br/>
      </w:r>
      <w:r>
        <w:t xml:space="preserve">## CI of the variance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χ</m:t>
                  </m:r>
                </m:e>
                <m:sub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≤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sSubSup>
                <m:e>
                  <m:r>
                    <m:t>χ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- This use the Chi Square distribution which we will discuss after midterm</w:t>
      </w:r>
    </w:p>
    <w:bookmarkEnd w:id="35"/>
    <w:bookmarkStart w:id="36" w:name="ci-of-the-standard-deviation"/>
    <w:p>
      <w:pPr>
        <w:pStyle w:val="Heading2"/>
      </w:pPr>
      <w:r>
        <w:t xml:space="preserve">2.12 CI of the standard deviation</w:t>
      </w:r>
    </w:p>
    <w:p>
      <w:pPr>
        <w:pStyle w:val="FirstParagraph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χ</m:t>
                      </m:r>
                    </m:e>
                    <m:sub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  <m:r>
            <m:rPr>
              <m:sty m:val="p"/>
            </m:rPr>
            <m:t>≤</m:t>
          </m:r>
          <m:r>
            <m:t>σ</m:t>
          </m:r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χ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rad>
        </m:oMath>
      </m:oMathPara>
    </w:p>
    <w:p>
      <w:pPr>
        <w:pStyle w:val="FirstParagraph"/>
      </w:pPr>
      <w:r>
        <w:t xml:space="preserve">- Also uses the Chi-square distribution</w:t>
      </w:r>
    </w:p>
    <w:bookmarkEnd w:id="36"/>
    <w:bookmarkStart w:id="37" w:name="why-the-chi-square-not-the-normal"/>
    <w:p>
      <w:pPr>
        <w:pStyle w:val="Heading2"/>
      </w:pPr>
      <w:r>
        <w:t xml:space="preserve">2.13 Why the Chi-Square not the normal?</w:t>
      </w:r>
    </w:p>
    <w:p>
      <w:pPr>
        <w:pStyle w:val="Compact"/>
        <w:numPr>
          <w:ilvl w:val="0"/>
          <w:numId w:val="1013"/>
        </w:numPr>
      </w:pPr>
      <w:r>
        <w:t xml:space="preserve">When we square distances from the mean to get the variance, the distribution changes</w:t>
      </w:r>
    </w:p>
    <w:p>
      <w:pPr>
        <w:pStyle w:val="Compact"/>
        <w:numPr>
          <w:ilvl w:val="0"/>
          <w:numId w:val="1013"/>
        </w:numPr>
      </w:pPr>
      <w:r>
        <w:t xml:space="preserve">By eliminating all negative numbers, the distribution becomes skewed and looks like this:</w:t>
      </w:r>
    </w:p>
    <w:bookmarkEnd w:id="37"/>
    <w:bookmarkStart w:id="41" w:name="distribution-comparison"/>
    <w:p>
      <w:pPr>
        <w:pStyle w:val="Heading2"/>
      </w:pPr>
      <w:r>
        <w:t xml:space="preserve">2.14 Distribution Comparison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lecture_7_CI_hypothesis_testing_files/figure-docx/unnamed-chunk-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7" w:name="authorship-license-credits"/>
    <w:p>
      <w:pPr>
        <w:pStyle w:val="Heading2"/>
      </w:pPr>
      <w:r>
        <w:t xml:space="preserve">2.15 Authorship, License, Credits</w:t>
      </w:r>
    </w:p>
    <w:p>
      <w:pPr>
        <w:numPr>
          <w:ilvl w:val="0"/>
          <w:numId w:val="1014"/>
        </w:numPr>
      </w:pPr>
      <w:hyperlink r:id="rId42">
        <w:r>
          <w:rPr>
            <w:rStyle w:val="Hyperlink"/>
          </w:rPr>
          <w:t xml:space="preserve">Stephen Moore</w:t>
        </w:r>
      </w:hyperlink>
      <w:r>
        <w:t xml:space="preserve"> </w:t>
      </w:r>
      <w:r>
        <w:t xml:space="preserve">code used to simulate the Law of Large Numbers</w:t>
      </w:r>
    </w:p>
    <w:p>
      <w:pPr>
        <w:numPr>
          <w:ilvl w:val="0"/>
          <w:numId w:val="1014"/>
        </w:numPr>
      </w:pPr>
      <w:r>
        <w:t xml:space="preserve">68-95-99 rule graphic</w:t>
      </w:r>
      <w:r>
        <w:t xml:space="preserve"> </w:t>
      </w:r>
      <w:hyperlink r:id="rId43">
        <w:r>
          <w:rPr>
            <w:rStyle w:val="Hyperlink"/>
          </w:rPr>
          <w:t xml:space="preserve">Source:https://towardsdatascience.com/understanding-the-68-95-99-7-rule-for-a-normal-distribution-b7b7cbf760c2</w:t>
        </w:r>
      </w:hyperlink>
    </w:p>
    <w:p>
      <w:pPr>
        <w:numPr>
          <w:ilvl w:val="0"/>
          <w:numId w:val="1014"/>
        </w:numPr>
      </w:pPr>
      <w:r>
        <w:t xml:space="preserve">Author: Tom Hanna</w:t>
      </w:r>
    </w:p>
    <w:p>
      <w:pPr>
        <w:numPr>
          <w:ilvl w:val="0"/>
          <w:numId w:val="1014"/>
        </w:numPr>
      </w:pPr>
      <w:r>
        <w:t xml:space="preserve">Website:</w:t>
      </w:r>
      <w:r>
        <w:t xml:space="preserve"> </w:t>
      </w:r>
      <w:r>
        <w:t xml:space="preserve">tomhanna.me</w:t>
      </w:r>
    </w:p>
    <w:p>
      <w:pPr>
        <w:numPr>
          <w:ilvl w:val="0"/>
          <w:numId w:val="1014"/>
        </w:numPr>
      </w:pPr>
      <w:r>
        <w:t xml:space="preserve">License: This work is licensed under a</w:t>
      </w:r>
      <w:r>
        <w:t xml:space="preserve"> </w:t>
      </w:r>
      <w:r>
        <w:t xml:space="preserve">Creative Commons Attribution-NonCommercial-ShareAlike 4.0 International License.&lt;/&gt;</w:t>
      </w:r>
    </w:p>
    <w:p>
      <w:pPr>
        <w:pStyle w:val="FirstParagraph"/>
      </w:pPr>
      <w:r>
        <w:drawing>
          <wp:inline>
            <wp:extent cx="1117600" cy="393700"/>
            <wp:effectExtent b="0" l="0" r="0" t="0"/>
            <wp:docPr descr="Creative Commons License" title="" id="45" name="Picture"/>
            <a:graphic>
              <a:graphicData uri="http://schemas.openxmlformats.org/drawingml/2006/picture">
                <pic:pic>
                  <pic:nvPicPr>
                    <pic:cNvPr descr="creative_commons_licens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sectPr w:rsidR="00984819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541039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702323586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819"/>
    <w:rsid w:val="007E5493"/>
    <w:rsid w:val="00984819"/>
    <w:rsid w:val="00E54EA4"/>
    <w:rsid w:val="00F1154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44" Target="media/rId44.png" /><Relationship Type="http://schemas.openxmlformats.org/officeDocument/2006/relationships/image" Id="rId38" Target="media/rId38.png" /><Relationship Type="http://schemas.openxmlformats.org/officeDocument/2006/relationships/hyperlink" Id="rId42" Target="https://rpubs.com/stephenmoore56/301283" TargetMode="External" /><Relationship Type="http://schemas.openxmlformats.org/officeDocument/2006/relationships/hyperlink" Id="rId43" Target="https://towardsdatascience.com/understanding-the-68-95-99-7-rule-for-a-normal-distribution-b7b7cbf760c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rpubs.com/stephenmoore56/301283" TargetMode="External" /><Relationship Type="http://schemas.openxmlformats.org/officeDocument/2006/relationships/hyperlink" Id="rId43" Target="https://towardsdatascience.com/understanding-the-68-95-99-7-rule-for-a-normal-distribution-b7b7cbf760c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356</Characters>
  <Application>Microsoft Office Word</Application>
  <DocSecurity>0</DocSecurity>
  <Lines>39</Lines>
  <Paragraphs>42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6: Law of Large Numbers, Central Limit Theorem, &amp; Correlation</dc:title>
  <dc:creator>Tom Hanna</dc:creator>
  <cp:keywords/>
  <dcterms:created xsi:type="dcterms:W3CDTF">2026-03-01T23:53:36Z</dcterms:created>
  <dcterms:modified xsi:type="dcterms:W3CDTF">2026-03-01T23:53:36Z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opyright">
    <vt:lpwstr/>
  </property>
  <property fmtid="{D5CDD505-2E9C-101B-9397-08002B2CF9AE}" pid="8" name="date">
    <vt:lpwstr>2026-03-01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Table of contents</vt:lpwstr>
  </property>
</Properties>
</file>