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6: Law of Large Numbers, Central Limit Theorem, &amp; Correlation</w:t>
      </w:r>
    </w:p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genda-for-today"/>
    <w:p>
      <w:pPr>
        <w:pStyle w:val="Heading2"/>
      </w:pPr>
      <w:r>
        <w:t xml:space="preserve">1 Agenda for Today</w:t>
      </w:r>
    </w:p>
    <w:p>
      <w:pPr>
        <w:pStyle w:val="Compact"/>
        <w:numPr>
          <w:ilvl w:val="0"/>
          <w:numId w:val="1001"/>
        </w:numPr>
      </w:pPr>
      <w:r>
        <w:t xml:space="preserve">The Law of Large Numbers (LLN)</w:t>
      </w:r>
    </w:p>
    <w:p>
      <w:pPr>
        <w:pStyle w:val="Compact"/>
        <w:numPr>
          <w:ilvl w:val="0"/>
          <w:numId w:val="1001"/>
        </w:numPr>
      </w:pPr>
      <w:r>
        <w:t xml:space="preserve">The Central Limit Theorem (CLT)</w:t>
      </w:r>
    </w:p>
    <w:p>
      <w:pPr>
        <w:pStyle w:val="Compact"/>
        <w:numPr>
          <w:ilvl w:val="0"/>
          <w:numId w:val="1001"/>
        </w:numPr>
      </w:pPr>
      <w:r>
        <w:t xml:space="preserve">Visualizing Distributions</w:t>
      </w:r>
    </w:p>
    <w:p>
      <w:pPr>
        <w:pStyle w:val="Compact"/>
        <w:numPr>
          <w:ilvl w:val="0"/>
          <w:numId w:val="1001"/>
        </w:numPr>
      </w:pPr>
      <w:r>
        <w:t xml:space="preserve">Understanding Covariance</w:t>
      </w:r>
    </w:p>
    <w:p>
      <w:pPr>
        <w:pStyle w:val="Compact"/>
        <w:numPr>
          <w:ilvl w:val="0"/>
          <w:numId w:val="1001"/>
        </w:numPr>
      </w:pPr>
      <w:r>
        <w:t xml:space="preserve">Pearson's Correlation Coefficient (r)</w:t>
      </w:r>
    </w:p>
    <w:bookmarkEnd w:id="20"/>
    <w:bookmarkStart w:id="21" w:name="the-law-of-large-numbers-lln"/>
    <w:p>
      <w:pPr>
        <w:pStyle w:val="Heading2"/>
      </w:pPr>
      <w:r>
        <w:t xml:space="preserve">2 The Law of Large Numbers (LLN)</w:t>
      </w:r>
    </w:p>
    <w:p>
      <w:pPr>
        <w:pStyle w:val="Compact"/>
        <w:numPr>
          <w:ilvl w:val="0"/>
          <w:numId w:val="1002"/>
        </w:numPr>
      </w:pPr>
      <w:r>
        <w:t xml:space="preserve">The Law of Large Numbers states that as the number of trials increases, the sample mean will converge on the true population mean.</w:t>
      </w:r>
    </w:p>
    <w:p>
      <w:pPr>
        <w:pStyle w:val="Compact"/>
        <w:numPr>
          <w:ilvl w:val="0"/>
          <w:numId w:val="1002"/>
        </w:numPr>
      </w:pPr>
      <w:r>
        <w:t xml:space="preserve">Consider a fair coin flip: getting 70% heads is common in 10 flips.</w:t>
      </w:r>
    </w:p>
    <w:p>
      <w:pPr>
        <w:pStyle w:val="Compact"/>
        <w:numPr>
          <w:ilvl w:val="0"/>
          <w:numId w:val="1002"/>
        </w:numPr>
      </w:pPr>
      <w:r>
        <w:t xml:space="preserve">Getting 70% heads is statistically impossible if we flip it 10,000 times.</w:t>
      </w:r>
    </w:p>
    <w:p>
      <w:pPr>
        <w:pStyle w:val="Compact"/>
        <w:numPr>
          <w:ilvl w:val="0"/>
          <w:numId w:val="1002"/>
        </w:numPr>
      </w:pPr>
      <w:r>
        <w:t xml:space="preserve">The results will always settle near the true probability of 50%.</w:t>
      </w:r>
    </w:p>
    <w:bookmarkEnd w:id="21"/>
    <w:bookmarkStart w:id="22" w:name="class-question-the-gamblers-fallacy"/>
    <w:p>
      <w:pPr>
        <w:pStyle w:val="Heading2"/>
      </w:pPr>
      <w:r>
        <w:t xml:space="preserve">3 Class Question: The Gambler's Fallacy</w:t>
      </w:r>
    </w:p>
    <w:p>
      <w:pPr>
        <w:pStyle w:val="Compact"/>
        <w:numPr>
          <w:ilvl w:val="0"/>
          <w:numId w:val="1003"/>
        </w:numPr>
      </w:pPr>
      <w:r>
        <w:t xml:space="preserve">If a gambler loses 5 hands of blackjack in a row, are they "due" for a win?</w:t>
      </w:r>
    </w:p>
    <w:p>
      <w:pPr>
        <w:pStyle w:val="Compact"/>
        <w:numPr>
          <w:ilvl w:val="0"/>
          <w:numId w:val="1003"/>
        </w:numPr>
      </w:pPr>
      <w:r>
        <w:t xml:space="preserve">How does the Law of Large Numbers explain why the "Gambler's Fallacy" is incorrect?</w:t>
      </w:r>
    </w:p>
    <w:bookmarkEnd w:id="22"/>
    <w:bookmarkStart w:id="24" w:name="X12712b7b735da88a3730a345efee42e55660c43"/>
    <w:p>
      <w:pPr>
        <w:pStyle w:val="Heading2"/>
      </w:pPr>
      <w:r>
        <w:t xml:space="preserve">4 Law of Large Numbers and Central Limit Theorem</w:t>
      </w:r>
    </w:p>
    <w:p>
      <w:pPr>
        <w:pStyle w:val="FirstParagraph"/>
      </w:pPr>
      <w:hyperlink r:id="rId23">
        <w:r>
          <w:rPr>
            <w:rStyle w:val="Hyperlink"/>
          </w:rPr>
          <w:t xml:space="preserve">LLN and CLT</w:t>
        </w:r>
      </w:hyperlink>
    </w:p>
    <w:bookmarkEnd w:id="24"/>
    <w:bookmarkStart w:id="25" w:name="bridging-to-the-central-limit-theorem"/>
    <w:p>
      <w:pPr>
        <w:pStyle w:val="Heading2"/>
      </w:pPr>
      <w:r>
        <w:t xml:space="preserve">5 Bridging to the Central Limit Theorem</w:t>
      </w:r>
    </w:p>
    <w:p>
      <w:pPr>
        <w:pStyle w:val="Compact"/>
        <w:numPr>
          <w:ilvl w:val="0"/>
          <w:numId w:val="1004"/>
        </w:numPr>
      </w:pPr>
      <w:r>
        <w:t xml:space="preserve">The LLN deals with the stability of a single long-run average.</w:t>
      </w:r>
    </w:p>
    <w:p>
      <w:pPr>
        <w:pStyle w:val="Compact"/>
        <w:numPr>
          <w:ilvl w:val="0"/>
          <w:numId w:val="1004"/>
        </w:numPr>
      </w:pPr>
      <w:r>
        <w:t xml:space="preserve">The Central Limit Theorem (CLT) explains the shape of the distribution of many sample averages.</w:t>
      </w:r>
    </w:p>
    <w:p>
      <w:pPr>
        <w:pStyle w:val="Compact"/>
        <w:numPr>
          <w:ilvl w:val="0"/>
          <w:numId w:val="1004"/>
        </w:numPr>
      </w:pPr>
      <w:r>
        <w:t xml:space="preserve">Recall our previous visual preview: multiple trials of a binomial distribution eventually form a predictable curve.</w:t>
      </w:r>
    </w:p>
    <w:bookmarkEnd w:id="25"/>
    <w:bookmarkStart w:id="26" w:name="the-central-limit-theorem-clt"/>
    <w:p>
      <w:pPr>
        <w:pStyle w:val="Heading2"/>
      </w:pPr>
      <w:r>
        <w:t xml:space="preserve">6 The Central Limit Theorem (CLT)</w:t>
      </w:r>
    </w:p>
    <w:p>
      <w:pPr>
        <w:pStyle w:val="Compact"/>
        <w:numPr>
          <w:ilvl w:val="0"/>
          <w:numId w:val="1005"/>
        </w:numPr>
      </w:pPr>
      <w:r>
        <w:t xml:space="preserve">Core Concept: The sampling distribution of the sample mean will approach a normal distribution as the sample size (n) increases.</w:t>
      </w:r>
    </w:p>
    <w:p>
      <w:pPr>
        <w:pStyle w:val="Compact"/>
        <w:numPr>
          <w:ilvl w:val="0"/>
          <w:numId w:val="1005"/>
        </w:numPr>
      </w:pPr>
      <w:r>
        <w:t xml:space="preserve">This happens regardless of the shape of the underlying population distribution.</w:t>
      </w:r>
    </w:p>
    <w:p>
      <w:pPr>
        <w:pStyle w:val="Compact"/>
        <w:numPr>
          <w:ilvl w:val="0"/>
          <w:numId w:val="1005"/>
        </w:numPr>
      </w:pPr>
      <w:r>
        <w:t xml:space="preserve">Even if our population data looks like a flat line (uniform) or is heavily skewed (like income data), the averages will form a Bell Curve.</w:t>
      </w:r>
    </w:p>
    <w:bookmarkEnd w:id="26"/>
    <w:bookmarkStart w:id="27" w:name="the-magic-number-30"/>
    <w:p>
      <w:pPr>
        <w:pStyle w:val="Heading2"/>
      </w:pPr>
      <w:r>
        <w:t xml:space="preserve">7 The "Magic" Number 30</w:t>
      </w:r>
    </w:p>
    <w:p>
      <w:pPr>
        <w:pStyle w:val="Compact"/>
        <w:numPr>
          <w:ilvl w:val="0"/>
          <w:numId w:val="1006"/>
        </w:numPr>
      </w:pPr>
      <w:r>
        <w:t xml:space="preserve">In statistics, we often cite n &gt;= 30 as the threshold.</w:t>
      </w:r>
    </w:p>
    <w:p>
      <w:pPr>
        <w:pStyle w:val="Compact"/>
        <w:numPr>
          <w:ilvl w:val="0"/>
          <w:numId w:val="1006"/>
        </w:numPr>
      </w:pPr>
      <w:r>
        <w:t xml:space="preserve">At n &gt;= 30, the sampling distribution creates a sufficiently normal shape to perform hypothesis tests.</w:t>
      </w:r>
    </w:p>
    <w:p>
      <w:pPr>
        <w:pStyle w:val="Compact"/>
        <w:numPr>
          <w:ilvl w:val="0"/>
          <w:numId w:val="1006"/>
        </w:numPr>
      </w:pPr>
      <w:r>
        <w:t xml:space="preserve">This allows us to use Z-scores and T-tests on messy real-world political data because we are testing the means, not the raw individuals.</w:t>
      </w:r>
    </w:p>
    <w:bookmarkEnd w:id="27"/>
    <w:bookmarkStart w:id="28" w:name="visualizing-the-clt"/>
    <w:p>
      <w:pPr>
        <w:pStyle w:val="Heading2"/>
      </w:pPr>
      <w:r>
        <w:t xml:space="preserve">8 Visualizing the CLT</w:t>
      </w:r>
    </w:p>
    <w:p>
      <w:pPr>
        <w:pStyle w:val="Compact"/>
        <w:numPr>
          <w:ilvl w:val="0"/>
          <w:numId w:val="1007"/>
        </w:numPr>
      </w:pPr>
      <w:r>
        <w:t xml:space="preserve">Imagine the distribution of rolling 1 die: it is flat and uniform.</w:t>
      </w:r>
    </w:p>
    <w:p>
      <w:pPr>
        <w:pStyle w:val="Compact"/>
        <w:numPr>
          <w:ilvl w:val="0"/>
          <w:numId w:val="1007"/>
        </w:numPr>
      </w:pPr>
      <w:r>
        <w:t xml:space="preserve">Imagine the distribution of the average of 5 dice: it becomes mound-shaped.</w:t>
      </w:r>
    </w:p>
    <w:p>
      <w:pPr>
        <w:pStyle w:val="Compact"/>
        <w:numPr>
          <w:ilvl w:val="0"/>
          <w:numId w:val="1007"/>
        </w:numPr>
      </w:pPr>
      <w:r>
        <w:t xml:space="preserve">Imagine the distribution of the average of 30 dice: it becomes a perfect normal bell curve.</w:t>
      </w:r>
    </w:p>
    <w:bookmarkEnd w:id="28"/>
    <w:bookmarkStart w:id="29" w:name="class-question-political-polling"/>
    <w:p>
      <w:pPr>
        <w:pStyle w:val="Heading2"/>
      </w:pPr>
      <w:r>
        <w:t xml:space="preserve">9 Class Question: Political Polling</w:t>
      </w:r>
    </w:p>
    <w:p>
      <w:pPr>
        <w:pStyle w:val="Compact"/>
        <w:numPr>
          <w:ilvl w:val="0"/>
          <w:numId w:val="1008"/>
        </w:numPr>
      </w:pPr>
      <w:r>
        <w:t xml:space="preserve">Why is the Central Limit Theorem vital for political polling?</w:t>
      </w:r>
    </w:p>
    <w:p>
      <w:pPr>
        <w:pStyle w:val="Compact"/>
        <w:numPr>
          <w:ilvl w:val="0"/>
          <w:numId w:val="1008"/>
        </w:numPr>
      </w:pPr>
      <w:r>
        <w:t xml:space="preserve">If we only survey 10 people for a presidential poll, can we confidently assume the error is normally distributed?</w:t>
      </w:r>
    </w:p>
    <w:bookmarkEnd w:id="29"/>
    <w:bookmarkStart w:id="30" w:name="moving-to-relationships-covariance"/>
    <w:p>
      <w:pPr>
        <w:pStyle w:val="Heading2"/>
      </w:pPr>
      <w:r>
        <w:t xml:space="preserve">10 Moving to Relationships: Covariance</w:t>
      </w:r>
    </w:p>
    <w:p>
      <w:pPr>
        <w:pStyle w:val="Compact"/>
        <w:numPr>
          <w:ilvl w:val="0"/>
          <w:numId w:val="1009"/>
        </w:numPr>
      </w:pPr>
      <w:r>
        <w:t xml:space="preserve">Covariance is a measure of the joint variability of two random variables.</w:t>
      </w:r>
    </w:p>
    <w:p>
      <w:pPr>
        <w:pStyle w:val="Compact"/>
        <w:numPr>
          <w:ilvl w:val="0"/>
          <w:numId w:val="1009"/>
        </w:numPr>
      </w:pPr>
      <w:r>
        <w:t xml:space="preserve">It indicates the direction of the linear relationship.</w:t>
      </w:r>
    </w:p>
    <w:p>
      <w:pPr>
        <w:pStyle w:val="Compact"/>
        <w:numPr>
          <w:ilvl w:val="0"/>
          <w:numId w:val="1009"/>
        </w:numPr>
      </w:pPr>
      <w:r>
        <w:t xml:space="preserve">Positive: X and Y move together.</w:t>
      </w:r>
    </w:p>
    <w:p>
      <w:pPr>
        <w:pStyle w:val="Compact"/>
        <w:numPr>
          <w:ilvl w:val="0"/>
          <w:numId w:val="1009"/>
        </w:numPr>
      </w:pPr>
      <w:r>
        <w:t xml:space="preserve">Negative: X and Y move in opposite directions.</w:t>
      </w:r>
    </w:p>
    <w:p>
      <w:pPr>
        <w:pStyle w:val="Compact"/>
        <w:numPr>
          <w:ilvl w:val="0"/>
          <w:numId w:val="1009"/>
        </w:numPr>
      </w:pPr>
      <w:r>
        <w:t xml:space="preserve">Near Zero: X and Y are completely unrelated.</w:t>
      </w:r>
    </w:p>
    <w:bookmarkEnd w:id="30"/>
    <w:bookmarkStart w:id="31" w:name="the-limitation-of-covariance"/>
    <w:p>
      <w:pPr>
        <w:pStyle w:val="Heading2"/>
      </w:pPr>
      <w:r>
        <w:t xml:space="preserve">11 The Limitation of Covariance</w:t>
      </w:r>
    </w:p>
    <w:p>
      <w:pPr>
        <w:pStyle w:val="Compact"/>
        <w:numPr>
          <w:ilvl w:val="0"/>
          <w:numId w:val="1010"/>
        </w:numPr>
      </w:pPr>
      <w:r>
        <w:t xml:space="preserve">Covariance is unstandardized.</w:t>
      </w:r>
    </w:p>
    <w:p>
      <w:pPr>
        <w:pStyle w:val="Compact"/>
        <w:numPr>
          <w:ilvl w:val="0"/>
          <w:numId w:val="1010"/>
        </w:numPr>
      </w:pPr>
      <w:r>
        <w:t xml:space="preserve">The resulting number depends entirely on the units of measurement.</w:t>
      </w:r>
    </w:p>
    <w:p>
      <w:pPr>
        <w:pStyle w:val="Compact"/>
        <w:numPr>
          <w:ilvl w:val="0"/>
          <w:numId w:val="1010"/>
        </w:numPr>
      </w:pPr>
      <w:r>
        <w:t xml:space="preserve">"Dollars" versus "Millions of Dollars" yields completely different numbers for the exact same relationship.</w:t>
      </w:r>
    </w:p>
    <w:p>
      <w:pPr>
        <w:pStyle w:val="Compact"/>
        <w:numPr>
          <w:ilvl w:val="0"/>
          <w:numId w:val="1010"/>
        </w:numPr>
      </w:pPr>
      <w:r>
        <w:t xml:space="preserve">A covariance of 500 might be weak in one context and strong in another.</w:t>
      </w:r>
    </w:p>
    <w:p>
      <w:pPr>
        <w:pStyle w:val="Compact"/>
        <w:numPr>
          <w:ilvl w:val="0"/>
          <w:numId w:val="1010"/>
        </w:numPr>
      </w:pPr>
      <w:r>
        <w:t xml:space="preserve">Only applies to linear relationships!</w:t>
      </w:r>
    </w:p>
    <w:bookmarkEnd w:id="31"/>
    <w:bookmarkStart w:id="32" w:name="the-sample-covariance-formula"/>
    <w:p>
      <w:pPr>
        <w:pStyle w:val="Heading2"/>
      </w:pPr>
      <w:r>
        <w:t xml:space="preserve">12 The Sample Covariance Formula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SourceCode"/>
      </w:pPr>
      <w:r>
        <w:rPr>
          <w:rStyle w:val="VerbatimChar"/>
        </w:rPr>
        <w:t xml:space="preserve">    1. This is the same notation we used for mean and variance, we just have an extra variable.</w:t>
      </w:r>
      <w:r>
        <w:br/>
      </w:r>
      <w:r>
        <w:rPr>
          <w:rStyle w:val="VerbatimChar"/>
        </w:rPr>
        <w:t xml:space="preserve">    2. The Numerator: This part of the equation calculates the cross products. It finds the difference between each observation and its respective mean for both variables.</w:t>
      </w:r>
      <w:r>
        <w:br/>
      </w:r>
      <w:r>
        <w:rPr>
          <w:rStyle w:val="VerbatimChar"/>
        </w:rPr>
        <w:t xml:space="preserve">    3. The Denominator: We divide by $n - 1$ to account for degrees of freedom. This adjustment ensures the sample covariance is an unbiased estimate of the population covariance.</w:t>
      </w:r>
      <w:r>
        <w:br/>
      </w:r>
      <w:r>
        <w:rPr>
          <w:rStyle w:val="VerbatimChar"/>
        </w:rPr>
        <w:t xml:space="preserve">    4. Interpretation: The sign of the result indicates the direction of the relationship. A positive value means variables move together. A negative value means they move in opposite directions.</w:t>
      </w:r>
    </w:p>
    <w:bookmarkEnd w:id="32"/>
    <w:bookmarkStart w:id="33" w:name="why-cross-products"/>
    <w:p>
      <w:pPr>
        <w:pStyle w:val="Heading2"/>
      </w:pPr>
      <w:r>
        <w:t xml:space="preserve">13 Why Cross-Products?</w:t>
      </w:r>
    </w:p>
    <w:p>
      <w:pPr>
        <w:numPr>
          <w:ilvl w:val="0"/>
          <w:numId w:val="1011"/>
        </w:numPr>
      </w:pPr>
      <w:r>
        <w:t xml:space="preserve">In Variance, we square deviations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so they do not sum to zero.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Squaring makes everything positive, which hides the direction of the relationship.</w:t>
      </w:r>
    </w:p>
    <w:p>
      <w:pPr>
        <w:numPr>
          <w:ilvl w:val="0"/>
          <w:numId w:val="1011"/>
        </w:numPr>
      </w:pPr>
      <w:r>
        <w:t xml:space="preserve">In Covariance, we multiply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by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instead of squaring which also prevents summing to zero but allows us to see direction.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If both variables are above their means, the product is positive $(+ \times +)$.</w:t>
      </w:r>
      <w:r>
        <w:br/>
      </w:r>
      <w:r>
        <w:rPr>
          <w:rStyle w:val="VerbatimChar"/>
        </w:rPr>
        <w:t xml:space="preserve">  - If both are below their means, the product is also positive $(- \times -)$.</w:t>
      </w:r>
      <w:r>
        <w:br/>
      </w:r>
      <w:r>
        <w:rPr>
          <w:rStyle w:val="VerbatimChar"/>
        </w:rPr>
        <w:t xml:space="preserve">  - If they move in opposite directions, the product is negative $(+ \times -)$.</w:t>
      </w:r>
    </w:p>
    <w:bookmarkEnd w:id="33"/>
    <w:bookmarkStart w:id="34" w:name="pearsons-correlation-coefficient-r"/>
    <w:p>
      <w:pPr>
        <w:pStyle w:val="Heading2"/>
      </w:pPr>
      <w:r>
        <w:t xml:space="preserve">14 Pearson’s Correlation Coefficient (r)</w:t>
      </w:r>
    </w:p>
    <w:p>
      <w:pPr>
        <w:pStyle w:val="Compact"/>
        <w:numPr>
          <w:ilvl w:val="0"/>
          <w:numId w:val="1012"/>
        </w:numPr>
      </w:pPr>
      <w:r>
        <w:t xml:space="preserve">Correlation standardizes the relationship so we can interpret it easily.</w:t>
      </w:r>
    </w:p>
    <w:p>
      <w:pPr>
        <w:pStyle w:val="Compact"/>
        <w:numPr>
          <w:ilvl w:val="0"/>
          <w:numId w:val="1012"/>
        </w:numPr>
      </w:pPr>
      <w:r>
        <w:t xml:space="preserve">It is essentially Covariance divided by the product of the standard deviations of the variables.</w:t>
      </w:r>
    </w:p>
    <w:p>
      <w:pPr>
        <w:pStyle w:val="Compact"/>
        <w:numPr>
          <w:ilvl w:val="0"/>
          <w:numId w:val="1012"/>
        </w:numPr>
      </w:pPr>
      <w:r>
        <w:t xml:space="preserve">This mathematical step squashes the value into a specific, universal range.</w:t>
      </w:r>
    </w:p>
    <w:p>
      <w:pPr>
        <w:pStyle w:val="Compact"/>
        <w:numPr>
          <w:ilvl w:val="0"/>
          <w:numId w:val="1012"/>
        </w:numPr>
      </w:pPr>
      <w:r>
        <w:t xml:space="preserve">Still only applies to linear relationships!</w:t>
      </w:r>
    </w:p>
    <w:bookmarkEnd w:id="34"/>
    <w:bookmarkStart w:id="35" w:name="pearsons-correlation-coefficient-r-1"/>
    <w:p>
      <w:pPr>
        <w:pStyle w:val="Heading2"/>
      </w:pPr>
      <w:r>
        <w:t xml:space="preserve">15 Pearson's Correlation Coefficient (</w:t>
      </w:r>
      <m:oMath>
        <m:r>
          <m:t>r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SourceCode"/>
      </w:pPr>
      <w:r>
        <w:rPr>
          <w:rStyle w:val="VerbatimChar"/>
        </w:rPr>
        <w:t xml:space="preserve">    - The product of the standard deviations creates a standardized scale</w:t>
      </w:r>
    </w:p>
    <w:bookmarkEnd w:id="35"/>
    <w:bookmarkStart w:id="36" w:name="pearsons-correlation-coefficient-cont"/>
    <w:p>
      <w:pPr>
        <w:pStyle w:val="Heading2"/>
      </w:pPr>
      <w:r>
        <w:t xml:space="preserve">16 Pearson's Correlation Coefficient (cont)</w:t>
      </w:r>
    </w:p>
    <w:p>
      <w:pPr>
        <w:pStyle w:val="FirstParagraph"/>
      </w:pPr>
      <w:r>
        <w:t xml:space="preserve">The expanded version of the formula demonstrates how we are comparing shared variance to total variance: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>
      <w:pPr>
        <w:pStyle w:val="SourceCode"/>
      </w:pPr>
      <w:r>
        <w:rPr>
          <w:rStyle w:val="VerbatimChar"/>
        </w:rPr>
        <w:t xml:space="preserve">    - Because we are dividing by the product of the standard deviations, the resulting coefficient is unitless and bounded. The value of $r$ will always fall within the range of -1.0 to +1.0. A result of +1.0 indicates a perfect positive linear relationship, while -1.0 represents a perfect negative linear relationship. A result near zero suggests that no linear relationship exists between the variables.</w:t>
      </w:r>
    </w:p>
    <w:bookmarkEnd w:id="36"/>
    <w:bookmarkStart w:id="37" w:name="interpreting-r"/>
    <w:p>
      <w:pPr>
        <w:pStyle w:val="Heading2"/>
      </w:pPr>
      <w:r>
        <w:t xml:space="preserve">17 Interpreting r</w:t>
      </w:r>
    </w:p>
    <w:p>
      <w:pPr>
        <w:pStyle w:val="Compact"/>
        <w:numPr>
          <w:ilvl w:val="0"/>
          <w:numId w:val="1013"/>
        </w:numPr>
      </w:pPr>
      <w:r>
        <w:t xml:space="preserve">The value of r will always fall between -1.0 and +1.0.</w:t>
      </w:r>
    </w:p>
    <w:p>
      <w:pPr>
        <w:pStyle w:val="Compact"/>
        <w:numPr>
          <w:ilvl w:val="0"/>
          <w:numId w:val="1013"/>
        </w:numPr>
      </w:pPr>
      <w:r>
        <w:t xml:space="preserve">1.0: Perfect positive relationship.</w:t>
      </w:r>
    </w:p>
    <w:p>
      <w:pPr>
        <w:pStyle w:val="Compact"/>
        <w:numPr>
          <w:ilvl w:val="0"/>
          <w:numId w:val="1013"/>
        </w:numPr>
      </w:pPr>
      <w:r>
        <w:t xml:space="preserve">-1.0: Perfect negative relationship.</w:t>
      </w:r>
    </w:p>
    <w:p>
      <w:pPr>
        <w:pStyle w:val="Compact"/>
        <w:numPr>
          <w:ilvl w:val="0"/>
          <w:numId w:val="1013"/>
        </w:numPr>
      </w:pPr>
      <w:r>
        <w:t xml:space="preserve">0: No linear relationship.</w:t>
      </w:r>
    </w:p>
    <w:p>
      <w:pPr>
        <w:pStyle w:val="Compact"/>
        <w:numPr>
          <w:ilvl w:val="0"/>
          <w:numId w:val="1013"/>
        </w:numPr>
      </w:pPr>
      <w:r>
        <w:t xml:space="preserve">This makes relationships comparable regardless of their original units.</w:t>
      </w:r>
    </w:p>
    <w:bookmarkEnd w:id="37"/>
    <w:bookmarkStart w:id="38" w:name="why-is-correlation-bounded"/>
    <w:p>
      <w:pPr>
        <w:pStyle w:val="Heading2"/>
      </w:pPr>
      <w:r>
        <w:t xml:space="preserve">18 Why is Correlation Bounded?</w:t>
      </w:r>
    </w:p>
    <w:p>
      <w:pPr>
        <w:pStyle w:val="FirstParagraph"/>
      </w:pPr>
      <w:r>
        <w:t xml:space="preserve">The correlation coefficient (</w:t>
      </w:r>
      <m:oMath>
        <m:r>
          <m:t>r</m:t>
        </m:r>
      </m:oMath>
      <w:r>
        <w:t xml:space="preserve">) is a standardized measure that always falls between -1.0 and +1.0. This mathematical property ensures that we can compare the strength of relationships across different datasets regardless of their original units of measurement. This boundary is not arbitrary; it is a direct result of the geometric and algebraic relationship between the two variables.</w:t>
      </w:r>
    </w:p>
    <w:bookmarkEnd w:id="38"/>
    <w:bookmarkStart w:id="39" w:name="the-geometric-intuition"/>
    <w:p>
      <w:pPr>
        <w:pStyle w:val="Heading2"/>
      </w:pPr>
      <w:r>
        <w:t xml:space="preserve">19 The Geometric Intuition</w:t>
      </w:r>
    </w:p>
    <w:p>
      <w:pPr>
        <w:pStyle w:val="FirstParagraph"/>
      </w:pPr>
      <w:r>
        <w:t xml:space="preserve">One way to understand this boundary is to treat our data as vectors. If we center our variables by subtracting their means, we can represent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two vectors in high-dimensional space. In this context, the correlation coefficient is identical to the cosine of the angle (</w:t>
      </w:r>
      <m:oMath>
        <m:r>
          <m:t>θ</m:t>
        </m:r>
      </m:oMath>
      <w:r>
        <w:t xml:space="preserve">) between these two vectors.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</m:oMath>
      </m:oMathPara>
    </w:p>
    <w:p>
      <w:pPr>
        <w:pStyle w:val="FirstParagraph"/>
      </w:pPr>
      <w:r>
        <w:t xml:space="preserve">Because the cosine of any angle must fall between -1.0 and +1.0, the correlation coefficient is restricted to that same range.</w:t>
      </w:r>
    </w:p>
    <w:bookmarkEnd w:id="39"/>
    <w:bookmarkStart w:id="40" w:name="interpreting-the-angle"/>
    <w:p>
      <w:pPr>
        <w:pStyle w:val="Heading2"/>
      </w:pPr>
      <w:r>
        <w:t xml:space="preserve">20 Interpreting the Angle</w:t>
      </w:r>
    </w:p>
    <w:p>
      <w:pPr>
        <w:pStyle w:val="FirstParagraph"/>
      </w:pPr>
      <w:r>
        <w:t xml:space="preserve">When the two vectors point in exactly the same direction, the angle is 0 degrees and the cosine is 1. This represents a perfect positive correlation. When the vectors point in exactly opposite directions, the angle is 180 degrees and the cosine is -1, representing a perfect negative correlation. If the vectors are perpendicular, the angle is 90 degrees and the cosine is 0, indicating the variables are linearly unrelated.</w:t>
      </w:r>
    </w:p>
    <w:bookmarkEnd w:id="40"/>
    <w:bookmarkStart w:id="42" w:name="geometric-demonstration"/>
    <w:p>
      <w:pPr>
        <w:pStyle w:val="Heading2"/>
      </w:pPr>
      <w:r>
        <w:t xml:space="preserve">21 Geometric Demonstration</w:t>
      </w:r>
    </w:p>
    <w:p>
      <w:pPr>
        <w:pStyle w:val="FirstParagraph"/>
      </w:pPr>
      <w:hyperlink r:id="rId41">
        <w:r>
          <w:rPr>
            <w:rStyle w:val="Hyperlink"/>
          </w:rPr>
          <w:t xml:space="preserve">Geometric Demonstration of Correlation Bounds</w:t>
        </w:r>
      </w:hyperlink>
    </w:p>
    <w:bookmarkEnd w:id="42"/>
    <w:bookmarkStart w:id="43" w:name="Xeee1ffedd5b40f9ea59488998c02774015c5b04"/>
    <w:p>
      <w:pPr>
        <w:pStyle w:val="Heading2"/>
      </w:pPr>
      <w:r>
        <w:t xml:space="preserve">22 Class Question: Covariance vs. Correlation</w:t>
      </w:r>
    </w:p>
    <w:p>
      <w:pPr>
        <w:pStyle w:val="Compact"/>
        <w:numPr>
          <w:ilvl w:val="0"/>
          <w:numId w:val="1014"/>
        </w:numPr>
      </w:pPr>
      <w:r>
        <w:t xml:space="preserve">If I tell you the covariance between GDP and Democracy Scores is 452, do you know if that is a strong relationship?</w:t>
      </w:r>
    </w:p>
    <w:p>
      <w:pPr>
        <w:pStyle w:val="Compact"/>
        <w:numPr>
          <w:ilvl w:val="0"/>
          <w:numId w:val="1014"/>
        </w:numPr>
      </w:pPr>
      <w:r>
        <w:t xml:space="preserve">What if I tell you the Correlation (r) is 0.85?</w:t>
      </w:r>
    </w:p>
    <w:bookmarkEnd w:id="43"/>
    <w:bookmarkStart w:id="44" w:name="X4c8494bb03cb5623c14887b1eae51960949a84f"/>
    <w:p>
      <w:pPr>
        <w:pStyle w:val="Heading2"/>
      </w:pPr>
      <w:r>
        <w:t xml:space="preserve">23 Demonstration of Covariance vs Correlation</w:t>
      </w:r>
    </w:p>
    <w:p>
      <w:pPr>
        <w:pStyle w:val="FirstParagraph"/>
      </w:pPr>
      <w:hyperlink r:id="rId23">
        <w:r>
          <w:rPr>
            <w:rStyle w:val="Hyperlink"/>
          </w:rPr>
          <w:t xml:space="preserve">Demonstration of Correlation vs. Covariance</w:t>
        </w:r>
      </w:hyperlink>
    </w:p>
    <w:bookmarkEnd w:id="44"/>
    <w:bookmarkStart w:id="45" w:name="authorship-and-license"/>
    <w:p>
      <w:pPr>
        <w:pStyle w:val="Heading2"/>
      </w:pPr>
      <w:r>
        <w:t xml:space="preserve">24 Authorship and License</w:t>
      </w:r>
    </w:p>
    <w:p>
      <w:pPr>
        <w:pStyle w:val="Compact"/>
        <w:numPr>
          <w:ilvl w:val="0"/>
          <w:numId w:val="1015"/>
        </w:numPr>
      </w:pPr>
      <w:r>
        <w:t xml:space="preserve">Author: Tom Hanna</w:t>
      </w:r>
    </w:p>
    <w:p>
      <w:pPr>
        <w:pStyle w:val="Compact"/>
        <w:numPr>
          <w:ilvl w:val="0"/>
          <w:numId w:val="1015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pStyle w:val="Compact"/>
        <w:numPr>
          <w:ilvl w:val="0"/>
          <w:numId w:val="1015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</w:t>
      </w:r>
    </w:p>
    <w:p>
      <w:pPr>
        <w:pStyle w:val="FirstParagraph"/>
      </w:pPr>
      <w:r>
        <w:t xml:space="preserve"> </w:t>
      </w:r>
      <w:r>
        <w:t xml:space="preserve"> </w:t>
      </w:r>
    </w:p>
    <w:bookmarkEnd w:id="45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tom-hanna.org/teaching/teaching/stats-and-research-design/geometric-demo-of-correlation-bounds/" TargetMode="External" /><Relationship Type="http://schemas.openxmlformats.org/officeDocument/2006/relationships/hyperlink" Id="rId23" Target="https://tom-hanna.org/teaching/teaching/stats-and-research-design/pols-3316-statistics-for-political-scientists-interactive-lecture-modu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tom-hanna.org/teaching/teaching/stats-and-research-design/geometric-demo-of-correlation-bounds/" TargetMode="External" /><Relationship Type="http://schemas.openxmlformats.org/officeDocument/2006/relationships/hyperlink" Id="rId23" Target="https://tom-hanna.org/teaching/teaching/stats-and-research-design/pols-3316-statistics-for-political-scientists-interactive-lecture-modu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6: Law of Large Numbers, Central Limit Theorem, &amp; Correlation</dc:title>
  <dc:creator>Tom Hanna</dc:creator>
  <cp:keywords/>
  <dcterms:created xsi:type="dcterms:W3CDTF">2026-02-23T01:36:50Z</dcterms:created>
  <dcterms:modified xsi:type="dcterms:W3CDTF">2026-02-23T01:36:50Z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2026-02-22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toc-title">
    <vt:lpwstr>Table of contents</vt:lpwstr>
  </property>
</Properties>
</file>