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56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6500"/>
        <w:gridCol w:w="4156"/>
      </w:tblGrid>
      <w:tr>
        <w:tc>
          <w:tcPr>
            <w:tcW w:type="dxa" w:w="65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</w:tcPr>
          <w:p>
            <w:pPr>
              <w:spacing w:before="0" w:after="6" w:line="276" w:lineRule="auto"/>
            </w:pPr>
            <w:r>
              <w:rPr>
                <w:rFonts w:ascii="Georgia" w:cs="Georgia" w:eastAsia="Georgia" w:hAnsi="Georgia"/>
                <w:color w:val="073763"/>
                <w:sz w:val="46"/>
                <w:szCs w:val="46"/>
              </w:rPr>
              <w:t xml:space="preserve">Thomas Ichinose</w:t>
            </w:r>
          </w:p>
        </w:tc>
        <w:tc>
          <w:tcPr>
            <w:tcW w:type="dxa" w:w="4156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bottom"/>
          </w:tcPr>
          <w:p>
            <w:pPr>
              <w:spacing w:before="0" w:after="0" w:line="236" w:lineRule="auto"/>
              <w:jc w:val="right"/>
            </w:pPr>
            <w:r>
              <w:rPr>
                <w:rFonts w:ascii="Calibri" w:cs="Calibri" w:eastAsia="Calibri" w:hAnsi="Calibri"/>
                <w:color w:val="1F497D"/>
                <w:sz w:val="17"/>
                <w:szCs w:val="17"/>
              </w:rPr>
              <w:t xml:space="preserve">New York City, NY</w:t>
            </w:r>
          </w:p>
          <w:p>
            <w:pPr>
              <w:spacing w:before="0" w:after="0" w:line="236" w:lineRule="auto"/>
              <w:jc w:val="right"/>
            </w:pPr>
            <w:r>
              <w:rPr>
                <w:rFonts w:ascii="Calibri" w:cs="Calibri" w:eastAsia="Calibri" w:hAnsi="Calibri"/>
                <w:color w:val="073763"/>
                <w:sz w:val="17"/>
                <w:szCs w:val="17"/>
              </w:rPr>
              <w:t xml:space="preserve">(626) 590-7086</w:t>
            </w:r>
          </w:p>
          <w:p>
            <w:pPr>
              <w:spacing w:before="0" w:after="0" w:line="236" w:lineRule="auto"/>
              <w:jc w:val="right"/>
            </w:pPr>
            <w:r>
              <w:rPr>
                <w:rFonts w:ascii="Calibri" w:cs="Calibri" w:eastAsia="Calibri" w:hAnsi="Calibri"/>
                <w:color w:val="073763"/>
                <w:sz w:val="17"/>
                <w:szCs w:val="17"/>
              </w:rPr>
              <w:t xml:space="preserve">tomichinose@gmail.com</w:t>
            </w:r>
          </w:p>
        </w:tc>
      </w:tr>
    </w:tbl>
    <w:p>
      <w:pPr>
        <w:pBdr>
          <w:bottom w:val="single" w:color="B8CCE4" w:sz="4" w:space="1"/>
        </w:pBdr>
        <w:spacing w:before="36" w:after="28"/>
      </w:pPr>
    </w:p>
    <w:tbl>
      <w:tblPr>
        <w:tblW w:type="dxa" w:w="88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300"/>
        <w:gridCol w:w="75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Overview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6" w:line="226" w:lineRule="auto"/>
            </w:pPr>
            <w:r>
              <w:rPr>
                <w:rFonts w:ascii="Calibri" w:cs="Calibri" w:eastAsia="Calibri" w:hAnsi="Calibri"/>
                <w:i/>
                <w:iCs/>
                <w:sz w:val="16"/>
                <w:szCs w:val="16"/>
              </w:rPr>
              <w:t xml:space="preserve">Strategy and operations leader with 10+ years scaling cross-functional data and technology programs, owning P&amp;L, and delivering measurable outcomes at enterprise scale. Proven track record building high-performing teams, designing KPI-driven operating models, and acting as product owner for data-intensive programs — across 220-person organizations, Fortune 500 clients, and from-scratch ventures.</w:t>
            </w:r>
          </w:p>
        </w:tc>
      </w:tr>
    </w:tbl>
    <w:p>
      <w:pPr>
        <w:pBdr>
          <w:bottom w:val="single" w:color="B8CCE4" w:sz="4" w:space="1"/>
        </w:pBdr>
        <w:spacing w:before="36" w:after="28"/>
      </w:pPr>
    </w:p>
    <w:tbl>
      <w:tblPr>
        <w:tblW w:type="dxa" w:w="88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300"/>
        <w:gridCol w:w="75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Experience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28" w:after="0" w:line="236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WSP USA</w:t>
            </w:r>
          </w:p>
          <w:p>
            <w:pPr>
              <w:tabs>
                <w:tab w:val="right" w:pos="7600"/>
              </w:tabs>
              <w:spacing w:before="0" w:after="4" w:line="240" w:lineRule="auto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Assistant Vice President – Mgmt. Consulting, Critical &amp; Emerging Tech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Sept 2022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Provide management consulting and advisory services to transit agencies and infrastructure clients; specialize in EV transition planning, decarbonization strategy, and ISO 55001 asset management compliance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Act as data product owner in client-facing environments — translating executive goals into technical requirements, facilitating sprint-style workshops, and designing user journeys with cross-functional engineering and data teams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Develop quantitative models and financial projections to evaluate sustainability and capital impacts across multi-billion-dollar public infrastructure portfolios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Project Highlights: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NYC EDC — Built 25-yr Strategic Energy Master Plan + owned end-to-end PowerBI dashboard; primary executive tool for energy capital allocation across a large municipal real estate portfolio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WMATA (DC Metro) — Developed 10-yr decarbonization &amp; energy reduction model to plan phased fleet electrification, facility upgrades, and scope 2 &amp; 3 emission strategies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MTA Metro-North — Co-authored Capital Improvement Plan for Grand Central Terminal; EV Transition Plan for Somerset County, NJ; Transit Asset Management Plan for Durham County</w:t>
            </w:r>
          </w:p>
          <w:p>
            <w:pPr>
              <w:spacing w:before="40" w:after="0"/>
            </w:pPr>
          </w:p>
          <w:p>
            <w:pPr>
              <w:spacing w:before="28" w:after="0" w:line="236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Insight Global</w:t>
            </w:r>
          </w:p>
          <w:p>
            <w:pPr>
              <w:tabs>
                <w:tab w:val="right" w:pos="7600"/>
              </w:tabs>
              <w:spacing w:before="0" w:after="4" w:line="240" w:lineRule="auto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Program Director &amp; Service Delivery Executive – GIS Division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Jun 2018 – Aug 2022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Scaled and led a 220-person data &amp; technology services organization — $63M+ cumulative revenue, 56% YoY headcount growth, 24 programs executed across geospatial and data verticals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Designed KPI frameworks, utilization dashboards, SLA incentive structures, and performance programs; built resource allocation models to optimize staffing and eliminate bottlenecks across a distributed team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Grew division ~30% YoY: contract negotiations, GTM planning, and creative sales strategy; averaged 2.1 RFP proposals/week; coordinated sales, finance, legal, and technical teams for timely, high-quality delivery</w:t>
            </w:r>
          </w:p>
          <w:p>
            <w:pPr>
              <w:spacing w:before="4" w:after="0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Program Highlights: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Microsoft — Delivered 50M sq. mi. of 3D DEM-corrected satellite imagery for MS Flight Simulator (acquisition, QC, load)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PG&amp;E — Digitized 12,000+ miles of gas pipeline infrastructure; processed 20,000 solar NEM applications/month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International logistics client — Built digital-twin library of ~800 apartment complexes via on-site survey, digitization &amp; geospatial analysis</w:t>
            </w:r>
          </w:p>
          <w:p>
            <w:pPr>
              <w:spacing w:before="32" w:after="0"/>
            </w:pPr>
          </w:p>
          <w:p>
            <w:pPr>
              <w:tabs>
                <w:tab w:val="right" w:pos="7600"/>
              </w:tabs>
              <w:spacing w:before="0" w:after="4" w:line="240" w:lineRule="auto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Service Delivery Executive / Project Manager – GIS Division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Aug 2016 – May 2018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Managed large-scale data quality and asset record management programs for PG&amp;E’s Gas Transmission Operations division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SAP Data Clean —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Digitized 35,000+ field record datapoints; corrected 6,000+ asset maintenance schedules system-wide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Record Management — </w:t>
            </w:r>
            <w:r>
              <w:rPr>
                <w:rFonts w:ascii="Calibri" w:cs="Calibri" w:eastAsia="Calibri" w:hAnsi="Calibri"/>
                <w:sz w:val="16"/>
                <w:szCs w:val="16"/>
              </w:rPr>
              <w:t xml:space="preserve">Designed and deployed standardized record organization system across 33 field office locations</w:t>
            </w:r>
          </w:p>
          <w:p>
            <w:pPr>
              <w:spacing w:before="40" w:after="0"/>
            </w:pPr>
          </w:p>
          <w:p>
            <w:pPr>
              <w:spacing w:before="28" w:after="0" w:line="236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8"/>
                <w:szCs w:val="18"/>
              </w:rPr>
              <w:t xml:space="preserve">Blessly Rentals</w:t>
            </w:r>
          </w:p>
          <w:p>
            <w:pPr>
              <w:tabs>
                <w:tab w:val="right" w:pos="7600"/>
              </w:tabs>
              <w:spacing w:before="0" w:after="4" w:line="240" w:lineRule="auto"/>
            </w:pP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Co-Founder &amp; CEO</w:t>
            </w:r>
            <w:r>
              <w:rPr>
                <w:rFonts w:ascii="Calibri" w:cs="Calibri" w:eastAsia="Calibri" w:hAnsi="Calibri"/>
                <w:sz w:val="17"/>
                <w:szCs w:val="17"/>
              </w:rPr>
              <w:t xml:space="preserve">	</w:t>
            </w:r>
            <w:r>
              <w:rPr>
                <w:rFonts w:ascii="Calibri" w:cs="Calibri" w:eastAsia="Calibri" w:hAnsi="Calibri"/>
                <w:color w:val="666666"/>
                <w:sz w:val="17"/>
                <w:szCs w:val="17"/>
              </w:rPr>
              <w:t xml:space="preserve">Feb 2022 – Present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Founded and operate a profitable short-term rental business generating six-figure gross revenue at 36% net operating margin with zero full-time staff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0" w:line="218" w:lineRule="auto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Built fully automated ops stack: dynamic pricing, PMS, guest messaging, cleaner scheduling, AR/AP; 1,500+ guests hosted at 99% satisfaction across Airbnb, VRBO, Booking.com, and Furnished Finder</w:t>
            </w:r>
          </w:p>
        </w:tc>
      </w:tr>
    </w:tbl>
    <w:p>
      <w:pPr>
        <w:pBdr>
          <w:bottom w:val="single" w:color="B8CCE4" w:sz="4" w:space="1"/>
        </w:pBdr>
        <w:spacing w:before="36" w:after="28"/>
      </w:pPr>
    </w:p>
    <w:tbl>
      <w:tblPr>
        <w:tblW w:type="dxa" w:w="88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300"/>
        <w:gridCol w:w="75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Education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0" w:line="236" w:lineRule="auto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University of California, Santa Barbara</w:t>
            </w:r>
          </w:p>
          <w:p>
            <w:pPr>
              <w:spacing w:before="0" w:after="0" w:line="236" w:lineRule="auto"/>
            </w:pPr>
            <w:r>
              <w:rPr>
                <w:rFonts w:ascii="Calibri" w:cs="Calibri" w:eastAsia="Calibri" w:hAnsi="Calibri"/>
                <w:i/>
                <w:iCs/>
                <w:color w:val="666666"/>
                <w:sz w:val="16"/>
                <w:szCs w:val="16"/>
              </w:rPr>
              <w:t xml:space="preserve">B.S. Environmental Science, Emphasis: GIS  ·  Class of 2015  ·  Intermediate Japanese proficiency</w:t>
            </w:r>
          </w:p>
        </w:tc>
      </w:tr>
    </w:tbl>
    <w:p>
      <w:pPr>
        <w:pBdr>
          <w:bottom w:val="single" w:color="B8CCE4" w:sz="4" w:space="1"/>
        </w:pBdr>
        <w:spacing w:before="36" w:after="28"/>
      </w:pPr>
    </w:p>
    <w:tbl>
      <w:tblPr>
        <w:tblW w:type="dxa" w:w="8860"/>
        <w:tblBorders>
          <w:top w:val="nil" w:color="FFFFFF" w:sz="0"/>
          <w:left w:val="nil" w:color="FFFFFF" w:sz="0"/>
          <w:bottom w:val="nil" w:color="FFFFFF" w:sz="0"/>
          <w:right w:val="nil" w:color="FFFFFF" w:sz="0"/>
          <w:insideH w:val="single" w:color="auto" w:sz="4"/>
          <w:insideV w:val="single" w:color="auto" w:sz="4"/>
        </w:tblBorders>
      </w:tblPr>
      <w:tblGrid>
        <w:gridCol w:w="1300"/>
        <w:gridCol w:w="7560"/>
      </w:tblGrid>
      <w:tr>
        <w:tc>
          <w:tcPr>
            <w:tcW w:type="dxa" w:w="130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p>
            <w:pPr>
              <w:spacing w:before="0" w:after="0" w:line="240" w:lineRule="auto"/>
            </w:pPr>
            <w:r>
              <w:rPr>
                <w:rFonts w:ascii="Calibri" w:cs="Calibri" w:eastAsia="Calibri" w:hAnsi="Calibri"/>
                <w:b/>
                <w:bCs/>
                <w:i/>
                <w:iCs/>
                <w:sz w:val="17"/>
                <w:szCs w:val="17"/>
              </w:rPr>
              <w:t xml:space="preserve">Skills</w:t>
            </w:r>
          </w:p>
        </w:tc>
        <w:tc>
          <w:tcPr>
            <w:tcW w:type="dxa" w:w="756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vAlign w:val="top"/>
          </w:tcPr>
          <w:tbl>
            <w:tblPr>
              <w:tblW w:type="dxa" w:w="7560"/>
              <w:tblBorders>
                <w:top w:val="nil" w:color="FFFFFF" w:sz="0"/>
                <w:left w:val="nil" w:color="FFFFFF" w:sz="0"/>
                <w:bottom w:val="nil" w:color="FFFFFF" w:sz="0"/>
                <w:right w:val="nil" w:color="FFFFFF" w:sz="0"/>
                <w:insideH w:val="single" w:color="auto" w:sz="4"/>
                <w:insideV w:val="single" w:color="auto" w:sz="4"/>
              </w:tblBorders>
            </w:tblPr>
            <w:tblGrid>
              <w:gridCol w:w="3720"/>
              <w:gridCol w:w="3840"/>
            </w:tblGrid>
            <w:tr>
              <w:tc>
                <w:tcPr>
                  <w:tcW w:type="dxa" w:w="372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Strategy &amp; Operations  ·  P&amp;L Ownership  ·  GTM Planning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Program &amp; Data Product Delivery  ·  Full Lifecycle Mgmt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Workforce Planning  ·  KPI / OKR Frameworks  ·  SLA Design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Sprint / Agile Ceremonies  ·  Technical Requirements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Stakeholder Engagement  ·  QBRs  ·  Executive Reporting</w:t>
                  </w:r>
                </w:p>
              </w:tc>
              <w:tc>
                <w:tcPr>
                  <w:tcW w:type="dxa" w:w="3840"/>
                  <w:tcBorders>
                    <w:top w:val="nil" w:color="FFFFFF" w:sz="0"/>
                    <w:left w:val="nil" w:color="FFFFFF" w:sz="0"/>
                    <w:bottom w:val="nil" w:color="FFFFFF" w:sz="0"/>
                    <w:right w:val="nil" w:color="FFFFFF" w:sz="0"/>
                  </w:tcBorders>
                </w:tcPr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MS PowerBI  ·  SharePoint  ·  Dynamics  ·  MS Project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ArcGIS (Map, Tools, Catalog)  ·  QGIS  ·  Spatial Analyst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SAP ERP  ·  Azure DevOps  ·  AWS S3  ·  BOBJ</w:t>
                  </w:r>
                </w:p>
                <w:p>
                  <w:pPr>
                    <w:spacing w:before="0" w:after="0" w:line="236" w:lineRule="auto"/>
                  </w:pPr>
                  <w:r>
                    <w:rPr>
                      <w:rFonts w:ascii="Calibri" w:cs="Calibri" w:eastAsia="Calibri" w:hAnsi="Calibri"/>
                      <w:sz w:val="16"/>
                      <w:szCs w:val="16"/>
                    </w:rPr>
                    <w:t xml:space="preserve">MS Office Suite (Word, Excel, PowerPoint, Project)</w:t>
                  </w:r>
                </w:p>
              </w:tc>
            </w:tr>
          </w:tbl>
          <w:p/>
        </w:tc>
      </w:tr>
    </w:tbl>
    <w:sectPr>
      <w:pgSz w:w="12240" w:h="15840" w:orient="portrait"/>
      <w:pgMar w:top="540" w:right="792" w:bottom="432" w:left="792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  <w:rPr>
        <w:rFonts w:ascii="Symbol" w:cs="Symbol" w:eastAsia="Symbol" w:hAnsi="Symbol"/>
        <w:sz w:val="16"/>
        <w:szCs w:val="16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o"/>
      <w:lvlJc w:val="left"/>
      <w:pPr>
        <w:ind w:left="620" w:hanging="200"/>
      </w:pPr>
      <w:rPr>
        <w:rFonts w:ascii="Courier New" w:cs="Courier New" w:eastAsia="Courier New" w:hAnsi="Courier New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2026-02-24T00:52:37.661Z</dcterms:created>
  <dcterms:modified xsi:type="dcterms:W3CDTF">2026-02-24T00:52:37.662Z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