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6###</w:t>
      </w:r>
      <w:r>
        <w:t xml:space="preserve"> </w:t>
      </w:r>
      <w:r>
        <w:rPr>
          <w:b/>
          <w:bCs/>
        </w:rPr>
        <w:t xml:space="preserve">CHAPTER FOUR: DESCRIPTION OF THE EXISTING PROJECT ENVIRONMENT</w:t>
      </w:r>
    </w:p>
    <w:p>
      <w:pPr>
        <w:pStyle w:val="BodyText"/>
      </w:pPr>
      <w:r>
        <w:t xml:space="preserve">This chapter presents baseline information on the biophysical and social environment of the proposed project environment. The information presented here were collected from a number of sources, including literatures, field studies, laboratory analyses, stakeholders’ engagements and discussions with various experts on relevant thematic areas relating to the project environment and impact assessment.</w:t>
      </w:r>
    </w:p>
    <w:p>
      <w:pPr>
        <w:pStyle w:val="BodyText"/>
      </w:pPr>
      <w:r>
        <w:rPr>
          <w:b/>
          <w:bCs/>
        </w:rPr>
        <w:t xml:space="preserve">4.1 Study Approach</w:t>
      </w:r>
    </w:p>
    <w:p>
      <w:pPr>
        <w:pStyle w:val="BodyText"/>
      </w:pPr>
      <w:r>
        <w:t xml:space="preserve">The study approach adopted in this Environmental Impact Assessment (EIA) study involved mainly acquisition of ecological baseline data from review of the existing literatures, field studies and laboratory analysis, interviews and consultations with individuals, communities and institutional stakeholders with respect to the proposed project and project area. This approach provided adequate information for establishing the baseline status of the proposed project environment. The scope of the study covered the following:</w:t>
      </w:r>
      <w:r>
        <w:t xml:space="preserve"> </w:t>
      </w:r>
      <w:r>
        <w:t xml:space="preserve">* Meteorology</w:t>
      </w:r>
      <w:r>
        <w:t xml:space="preserve"> </w:t>
      </w:r>
      <w:r>
        <w:t xml:space="preserve">* Air quality/Noise</w:t>
      </w:r>
      <w:r>
        <w:t xml:space="preserve"> </w:t>
      </w:r>
      <w:r>
        <w:t xml:space="preserve">* Soil quality/landuse</w:t>
      </w:r>
      <w:r>
        <w:t xml:space="preserve"> </w:t>
      </w:r>
      <w:r>
        <w:t xml:space="preserve">* Groundwater resources</w:t>
      </w:r>
      <w:r>
        <w:t xml:space="preserve"> </w:t>
      </w:r>
      <w:r>
        <w:t xml:space="preserve">* Vegetation</w:t>
      </w:r>
      <w:r>
        <w:t xml:space="preserve"> </w:t>
      </w:r>
      <w:r>
        <w:t xml:space="preserve">* Wildlife</w:t>
      </w:r>
      <w:r>
        <w:t xml:space="preserve"> </w:t>
      </w:r>
      <w:r>
        <w:t xml:space="preserve">* Geology and hydrogeology</w:t>
      </w:r>
      <w:r>
        <w:t xml:space="preserve"> </w:t>
      </w:r>
      <w:r>
        <w:t xml:space="preserve">* Public and Institutional consultation</w:t>
      </w:r>
      <w:r>
        <w:t xml:space="preserve"> </w:t>
      </w:r>
      <w:r>
        <w:t xml:space="preserve">* Socio-economic studies</w:t>
      </w:r>
    </w:p>
    <w:p>
      <w:pPr>
        <w:pStyle w:val="BodyText"/>
      </w:pPr>
      <w:r>
        <w:t xml:space="preserve">One- season baseline data gathering was undertaken for dry season (in line with the approved EIA’s Terms of Reference by the Lagos State Ministry of the Environment and Water Resources while the wet season (secondary data) was obtained from a combination of sources, including review of literature (previous publications on the project environment and similar environmental studies around the project area. The field sampling was carried out between 11th and 13th February, 2023 and analyses of the samples was done at Environmental Laboratories Limited, Ikosi, Lagos.</w:t>
      </w:r>
    </w:p>
    <w:p>
      <w:pPr>
        <w:pStyle w:val="BodyText"/>
      </w:pPr>
      <w:r>
        <w:t xml:space="preserve">Important environmental, socioeconomic and health information (such as maps, charts, photographs) on the proposed project location were gathered during the field work while data gap analysis was carried out to identify areas where additional information will be required and the results were used in planning for the field survey and sampling strategy for this EIA study.</w:t>
      </w:r>
    </w:p>
    <w:p>
      <w:pPr>
        <w:pStyle w:val="BodyText"/>
      </w:pPr>
      <w:r>
        <w:rPr>
          <w:b/>
          <w:bCs/>
        </w:rPr>
        <w:t xml:space="preserve">4.2 Reconnaissance Survey</w:t>
      </w:r>
    </w:p>
    <w:p>
      <w:pPr>
        <w:pStyle w:val="BodyText"/>
      </w:pPr>
      <w:r>
        <w:t xml:space="preserve">Reconnaissance survey and spatial delineation was carried out to delineate the spatial boundary of the study area. Also, visual observation within the 2km radius of the project site was carried out to assess the resources, population, culture and traditions, landforms features, ecological characteristics, drainage pattern infrastructure, land use pattern and human settlement around the project environment. The 1km radius of the site was adopted as the Area of Influence (AoI) for the project for the aforementioned environmental aspect while a 1km radius was adopted for air, Noise, Soil and Groundwater assessment. The environmental factor that were considered when selecting sample points were sensitivity of biophysical and social receptors (e.g locations of water body, adjoining land-uses etc) as well as wind direction and topography of the area.</w:t>
      </w:r>
    </w:p>
    <w:p>
      <w:pPr>
        <w:pStyle w:val="BodyText"/>
      </w:pPr>
      <w:r>
        <w:rPr>
          <w:b/>
          <w:bCs/>
        </w:rPr>
        <w:t xml:space="preserve">4.3 Spatial Boundary Delineation</w:t>
      </w:r>
    </w:p>
    <w:p>
      <w:pPr>
        <w:pStyle w:val="BodyText"/>
      </w:pPr>
      <w:r>
        <w:t xml:space="preserve">The map showing the study area inclusive of sampling stations is presented in Figure 4.1. The Sampling points were geo-referenced by means of Global Positioning System (GPS) on the field. Judgmental sampling was applied in the selection of study stations, considering the predominant wind direction, presence of obstacles in the direction of the predominant wind direction, absence of trees, ecological features, geographical location of communities and control points in apparently undisturbed areas. The overriding considerations in the selection of sampling points included;</w:t>
      </w:r>
      <w:r>
        <w:t xml:space="preserve"> </w:t>
      </w:r>
      <w:r>
        <w:t xml:space="preserve">* Ecological features at 0.5km (were sensitivity of physical and biological receptors (e.g. location of water body, flora and fauna, settlements, existing facilities);</w:t>
      </w:r>
      <w:r>
        <w:t xml:space="preserve"> </w:t>
      </w:r>
      <w:r>
        <w:t xml:space="preserve">* The environmental, natural and man-made features within 2 km radius of the site was surveyed and mapped for biophysical components;</w:t>
      </w:r>
      <w:r>
        <w:t xml:space="preserve"> </w:t>
      </w:r>
      <w:r>
        <w:t xml:space="preserve">* The buffer distance 2 km for health and socio economics components used here, was chosen as it is considered likely to be the distance beyond which the Project and related activities are unlikely to exert an influence;</w:t>
      </w:r>
      <w:r>
        <w:t xml:space="preserve"> </w:t>
      </w:r>
      <w:r>
        <w:t xml:space="preserve">* Accessibility;</w:t>
      </w:r>
      <w:r>
        <w:t xml:space="preserve"> </w:t>
      </w:r>
      <w:r>
        <w:t xml:space="preserve">* Geographical dynamics of the study area such as wind direction, upstream/ downstream system and topography of the area;</w:t>
      </w:r>
      <w:r>
        <w:t xml:space="preserve"> </w:t>
      </w:r>
      <w:r>
        <w:t xml:space="preserve">* Areas of interest from satellite imageries;</w:t>
      </w:r>
      <w:r>
        <w:t xml:space="preserve"> </w:t>
      </w:r>
      <w:r>
        <w:t xml:space="preserve">* Situating control points in undisturbed areas outside the project area but within the same ecological zone (2.5km);</w:t>
      </w:r>
    </w:p>
    <w:p>
      <w:pPr>
        <w:pStyle w:val="BodyText"/>
      </w:pPr>
      <w:r>
        <w:t xml:space="preserve">Upon due considerations, 1km radius from the proposed project site was adopted as spatial boundary for biophysical studies while 3km from the project site was adopted for socio-economic characterization of the project area.</w:t>
      </w:r>
    </w:p>
    <w:p>
      <w:pPr>
        <w:pStyle w:val="BodyText"/>
      </w:pPr>
      <w:r>
        <w:t xml:space="preserve">A systematic sampling design according to the Terms of Reference(TOR)/Scope of work(SOW) approved by the Lagos State Ministry of the Environment and Water Resources was adopted to cover the entire area of the proposed mixed-use development project site and its immediate environs.</w:t>
      </w:r>
    </w:p>
    <w:p>
      <w:pPr>
        <w:pStyle w:val="BodyText"/>
      </w:pPr>
      <w:r>
        <w:rPr>
          <w:b/>
          <w:bCs/>
        </w:rPr>
        <w:t xml:space="preserve">Table 4.1: Sampling Points</w:t>
      </w:r>
      <w:r>
        <w:t xml:space="preserve"> </w:t>
      </w:r>
      <w:r>
        <w:t xml:space="preserve">| S/N | Environmental Components | Description of Sample Points |</w:t>
      </w:r>
      <w:r>
        <w:t xml:space="preserve"> </w:t>
      </w:r>
      <w:r>
        <w:t xml:space="preserve">| :– | :— | :— |</w:t>
      </w:r>
      <w:r>
        <w:t xml:space="preserve"> </w:t>
      </w:r>
      <w:r>
        <w:t xml:space="preserve">| 1. | Surface Water (Existing Natural Canal) | 5 (Inclusive of 1 Control) |</w:t>
      </w:r>
      <w:r>
        <w:t xml:space="preserve"> </w:t>
      </w:r>
      <w:r>
        <w:t xml:space="preserve">| 2 | Ground Water | 4 (Inclusive of 1 Control) |</w:t>
      </w:r>
      <w:r>
        <w:t xml:space="preserve"> </w:t>
      </w:r>
      <w:r>
        <w:t xml:space="preserve">| 3 | Sediment | 5 (inclusive of 1 control) |</w:t>
      </w:r>
      <w:r>
        <w:t xml:space="preserve"> </w:t>
      </w:r>
      <w:r>
        <w:t xml:space="preserve">| 4 | Vegetation | Study Area |</w:t>
      </w:r>
      <w:r>
        <w:t xml:space="preserve"> </w:t>
      </w:r>
      <w:r>
        <w:t xml:space="preserve">| 5 | Wildlife | Study Area |</w:t>
      </w:r>
      <w:r>
        <w:t xml:space="preserve"> </w:t>
      </w:r>
      <w:r>
        <w:t xml:space="preserve">| 6 | Soil | 5 (Inclusive of 1 Control) |</w:t>
      </w:r>
      <w:r>
        <w:t xml:space="preserve"> </w:t>
      </w:r>
      <w:r>
        <w:t xml:space="preserve">| 7 | Air Quality | 6 (inclusive of 1 Control) |</w:t>
      </w:r>
      <w:r>
        <w:t xml:space="preserve"> </w:t>
      </w:r>
      <w:r>
        <w:t xml:space="preserve">| 8 | Climate/ Meteorology | 6 |</w:t>
      </w:r>
      <w:r>
        <w:t xml:space="preserve"> </w:t>
      </w:r>
      <w:r>
        <w:rPr>
          <w:i/>
          <w:iCs/>
        </w:rPr>
        <w:t xml:space="preserve">N 6° 36’ 22.75” and E3° 28’38.07”.</w:t>
      </w:r>
    </w:p>
    <w:p>
      <w:pPr>
        <w:pStyle w:val="BodyText"/>
      </w:pPr>
      <w:r>
        <w:rPr>
          <w:b/>
          <w:bCs/>
        </w:rPr>
        <w:t xml:space="preserve">Table 4.2: Geophysical coordinates of the sampling location</w:t>
      </w:r>
      <w:r>
        <w:t xml:space="preserve"> </w:t>
      </w:r>
      <w:r>
        <w:t xml:space="preserve">| Sampling Station | Easting | Northing |</w:t>
      </w:r>
      <w:r>
        <w:t xml:space="preserve"> </w:t>
      </w:r>
      <w:r>
        <w:t xml:space="preserve">| :— | :— | :— |</w:t>
      </w:r>
      <w:r>
        <w:t xml:space="preserve"> </w:t>
      </w:r>
      <w:r>
        <w:t xml:space="preserve">| AQ1 | 6°36’22.45” | 3°28’24.05” |</w:t>
      </w:r>
      <w:r>
        <w:t xml:space="preserve"> </w:t>
      </w:r>
      <w:r>
        <w:t xml:space="preserve">| AQ2 | 6°36’23.47” | 3°28’14.89” |</w:t>
      </w:r>
      <w:r>
        <w:t xml:space="preserve"> </w:t>
      </w:r>
      <w:r>
        <w:t xml:space="preserve">| AQ3 | 6°36’20.06” | 3°28’19.23” |</w:t>
      </w:r>
      <w:r>
        <w:t xml:space="preserve"> </w:t>
      </w:r>
      <w:r>
        <w:t xml:space="preserve">| AQ4 | 6°36’23.19” | 3°28’31.27” |</w:t>
      </w:r>
      <w:r>
        <w:t xml:space="preserve"> </w:t>
      </w:r>
      <w:r>
        <w:t xml:space="preserve">| AQ5 | 6°36’22.52” | 3°28’40.17” |</w:t>
      </w:r>
      <w:r>
        <w:t xml:space="preserve"> </w:t>
      </w:r>
      <w:r>
        <w:t xml:space="preserve">| AQ6 | 6°36’ 42.32” | 3°28’50.17” (control) |</w:t>
      </w:r>
      <w:r>
        <w:t xml:space="preserve"> </w:t>
      </w:r>
      <w:r>
        <w:t xml:space="preserve">| SQ1 | 6°36’15.52” | 3°28’23.01” |</w:t>
      </w:r>
      <w:r>
        <w:t xml:space="preserve"> </w:t>
      </w:r>
      <w:r>
        <w:t xml:space="preserve">| SQ2 | 6°36’11.19” | 3°28’17.03” |</w:t>
      </w:r>
      <w:r>
        <w:t xml:space="preserve"> </w:t>
      </w:r>
      <w:r>
        <w:t xml:space="preserve">| SQ3 | 6°36’20.77” | 3°28’20.96” |</w:t>
      </w:r>
      <w:r>
        <w:t xml:space="preserve"> </w:t>
      </w:r>
      <w:r>
        <w:t xml:space="preserve">| SQ4 | 6°36’35.72” | 3°28’30.96” |</w:t>
      </w:r>
      <w:r>
        <w:t xml:space="preserve"> </w:t>
      </w:r>
      <w:r>
        <w:t xml:space="preserve">| SQ5 | 6°36’ 45.72” | 3°28’50.96” (Control) |</w:t>
      </w:r>
      <w:r>
        <w:t xml:space="preserve"> </w:t>
      </w:r>
      <w:r>
        <w:t xml:space="preserve">| SW1 | 6°36’09.35” | 3°28’14.48” |</w:t>
      </w:r>
      <w:r>
        <w:t xml:space="preserve"> </w:t>
      </w:r>
      <w:r>
        <w:t xml:space="preserve">| SW2 | 6°36’23.82” | 3°28’25.78” |</w:t>
      </w:r>
      <w:r>
        <w:t xml:space="preserve"> </w:t>
      </w:r>
      <w:r>
        <w:t xml:space="preserve">| SW3 | 6°36’43.12” | 3°28’35.78” |</w:t>
      </w:r>
      <w:r>
        <w:t xml:space="preserve"> </w:t>
      </w:r>
      <w:r>
        <w:t xml:space="preserve">| SW4 | 6°36’23.12” | 3°28’55.78” |</w:t>
      </w:r>
      <w:r>
        <w:t xml:space="preserve"> </w:t>
      </w:r>
      <w:r>
        <w:t xml:space="preserve">| SW5 | 6°36’53.82” | 3°28’75.78”(Control) |</w:t>
      </w:r>
      <w:r>
        <w:t xml:space="preserve"> </w:t>
      </w:r>
      <w:r>
        <w:t xml:space="preserve">| GW1 | 6°36’18.99” | 3°28’27.77” |</w:t>
      </w:r>
      <w:r>
        <w:t xml:space="preserve"> </w:t>
      </w:r>
      <w:r>
        <w:t xml:space="preserve">| GW2 | 6°36’31.63” | 3°28’32.48” |</w:t>
      </w:r>
      <w:r>
        <w:t xml:space="preserve"> </w:t>
      </w:r>
      <w:r>
        <w:t xml:space="preserve">| GW3 | 6°36’23.92” | 3°28’43.43” |</w:t>
      </w:r>
      <w:r>
        <w:t xml:space="preserve"> </w:t>
      </w:r>
      <w:r>
        <w:t xml:space="preserve">| GW4 | 6°36’43.92” | 3°28’53.43” (Control)|</w:t>
      </w:r>
      <w:r>
        <w:t xml:space="preserve"> </w:t>
      </w:r>
      <w:r>
        <w:rPr>
          <w:i/>
          <w:iCs/>
        </w:rPr>
        <w:t xml:space="preserve">Source: GEECL Fieldwork 2022; AQ= Air Quality, SQ= Soil Quality, SW= Surface Water, GW= Ground Water</w:t>
      </w:r>
    </w:p>
    <w:p>
      <w:pPr>
        <w:pStyle w:val="BodyText"/>
      </w:pPr>
      <w:r>
        <w:t xml:space="preserve">In-field sampling and observations was conducted for biophysical components through in-situ measurements with appropriate equipment and ex-situ laboratory analysis of samples using standard methods.</w:t>
      </w:r>
    </w:p>
    <w:p>
      <w:pPr>
        <w:pStyle w:val="BodyText"/>
      </w:pPr>
      <w:r>
        <w:rPr>
          <w:b/>
          <w:bCs/>
        </w:rPr>
        <w:t xml:space="preserve">4.4 Sampling Methodology</w:t>
      </w:r>
    </w:p>
    <w:p>
      <w:pPr>
        <w:pStyle w:val="BodyText"/>
      </w:pPr>
      <w:r>
        <w:t xml:space="preserve">The field procedures employed in samples/data collections are summarized in Table 4.3 and details presented in Appendix.</w:t>
      </w:r>
    </w:p>
    <w:p>
      <w:pPr>
        <w:pStyle w:val="BodyText"/>
      </w:pPr>
      <w:r>
        <w:rPr>
          <w:b/>
          <w:bCs/>
        </w:rPr>
        <w:t xml:space="preserve">Table 4.3 Environmental Components and Associated Methodologies</w:t>
      </w:r>
      <w:r>
        <w:t xml:space="preserve"> </w:t>
      </w:r>
      <w:r>
        <w:t xml:space="preserve">| Environmental Components | Methods |</w:t>
      </w:r>
      <w:r>
        <w:t xml:space="preserve"> </w:t>
      </w:r>
      <w:r>
        <w:t xml:space="preserve">| :— | :— |</w:t>
      </w:r>
      <w:r>
        <w:t xml:space="preserve"> </w:t>
      </w:r>
      <w:r>
        <w:t xml:space="preserve">| Meteorology | Literature survey, field studies with weather monitoring equipment, Kestrel |</w:t>
      </w:r>
      <w:r>
        <w:t xml:space="preserve"> </w:t>
      </w:r>
      <w:r>
        <w:t xml:space="preserve">| Air Quality Noise | Air quality monitoring equipment (Multi RAE, VRAE); Digital Noise meter |</w:t>
      </w:r>
      <w:r>
        <w:t xml:space="preserve"> </w:t>
      </w:r>
      <w:r>
        <w:t xml:space="preserve">| Vegetation | Transects, Quadrants, key informant interviews, FGD, Questionnaires and Direct Observations |</w:t>
      </w:r>
      <w:r>
        <w:t xml:space="preserve"> </w:t>
      </w:r>
      <w:r>
        <w:t xml:space="preserve">| Landuse | Observations, interviews and sample collections, Environmental Baseline Survey (EBS) by remote sensing (satellite imagery interpretation), Direct physical observations |</w:t>
      </w:r>
      <w:r>
        <w:t xml:space="preserve"> </w:t>
      </w:r>
      <w:r>
        <w:t xml:space="preserve">| Fauna (Wildlife) Terrestrial invertebrates, Amphibians, Reptiles, Birds, Mammals | Direct observations, key Informant Interviews, Focus Group Discussions (FGD) |</w:t>
      </w:r>
      <w:r>
        <w:t xml:space="preserve"> </w:t>
      </w:r>
      <w:r>
        <w:t xml:space="preserve">| Hydrology and Geotechnics | Boreholes and Geographical Measurements, Vertical Electrical Sounding (VES) |</w:t>
      </w:r>
      <w:r>
        <w:t xml:space="preserve"> </w:t>
      </w:r>
      <w:r>
        <w:t xml:space="preserve">| Surface water Hydrodynamics | Observations, water sampler, current meter, pH meter, DO meter, sediment grab, TDS meter, Turbidity meter and conductivity meter. |</w:t>
      </w:r>
      <w:r>
        <w:t xml:space="preserve"> </w:t>
      </w:r>
      <w:r>
        <w:t xml:space="preserve">| Soil Quality | Soil samples with an auger, and description of each sample with Munsell colour chat |</w:t>
      </w:r>
      <w:r>
        <w:t xml:space="preserve"> </w:t>
      </w:r>
      <w:r>
        <w:t xml:space="preserve">| Microbiology | Collection of water samples with Hydrobios water sampler into sterile McCartney bottles; Soil samples with soil auger into aluminium foil; Sediments samples with van Veen grab sampler into aluminium foil |</w:t>
      </w:r>
      <w:r>
        <w:t xml:space="preserve"> </w:t>
      </w:r>
      <w:r>
        <w:t xml:space="preserve">| Aquatic Biology Sediment | Collection with Van Veen grab |</w:t>
      </w:r>
      <w:r>
        <w:t xml:space="preserve"> </w:t>
      </w:r>
      <w:r>
        <w:t xml:space="preserve">| Phytoplankton | Collection with plankton net |</w:t>
      </w:r>
      <w:r>
        <w:t xml:space="preserve"> </w:t>
      </w:r>
      <w:r>
        <w:t xml:space="preserve">| Zooplankton | Collection with plankton net |</w:t>
      </w:r>
      <w:r>
        <w:t xml:space="preserve"> </w:t>
      </w:r>
      <w:r>
        <w:t xml:space="preserve">| Fish species and Fisheries | Observation, collection, interviews and laboratory analyses |</w:t>
      </w:r>
      <w:r>
        <w:t xml:space="preserve"> </w:t>
      </w:r>
      <w:r>
        <w:t xml:space="preserve">| Social Environment | Key informant interviews, Focus Group Discussion (FGD), Direct Observation, Administration of structured questionnaires and collection of secondary data |</w:t>
      </w:r>
      <w:r>
        <w:t xml:space="preserve"> </w:t>
      </w:r>
      <w:r>
        <w:t xml:space="preserve">| Health Studies | Key informant interviews, FGD, Administration of structured questionnaire and interviews, physical examination of volunteers, walk-through survey and collection of secondary data |</w:t>
      </w:r>
      <w:r>
        <w:t xml:space="preserve"> </w:t>
      </w:r>
      <w:r>
        <w:t xml:space="preserve">| Waste Management | Physical examination, inventorisation and walk-through survey. |</w:t>
      </w:r>
    </w:p>
    <w:p>
      <w:pPr>
        <w:pStyle w:val="BodyText"/>
      </w:pPr>
      <w:r>
        <w:t xml:space="preserve">In situ field measurements as recommended by FEPA (1991) were carried out on some parameters like Meteorology (temperature, relative humidity (RH), wind speed and barometric pressure), Air quality (PM2.5, PM10 CO, SOx, NOx, H2S, VOC) and noise, Vegetation life form, species frequency and floristic composition, Soil quality - colour, pH, electrical conductivity) and Water quality (pH, temperature, dissolved oxygen concentration, total dissolved solids conductivity, turbidity and salinity).</w:t>
      </w:r>
    </w:p>
    <w:p>
      <w:pPr>
        <w:pStyle w:val="BodyText"/>
      </w:pPr>
      <w:r>
        <w:rPr>
          <w:b/>
          <w:bCs/>
        </w:rPr>
        <w:t xml:space="preserve">4.5 Study Team</w:t>
      </w:r>
    </w:p>
    <w:p>
      <w:pPr>
        <w:pStyle w:val="BodyText"/>
      </w:pPr>
      <w:r>
        <w:t xml:space="preserve">The field sampling and preparation of this EIA report were executed by a multidisciplinary team consisting of environmental scientists from Greengate Environmental and Engineering Consultants Limited. The team included experts in Sociology, Ecology, Air quality, Civil and Structural Engineering, Chemistry, Environmental Resources Management etc. The laboratory analyses were carried out with qualify assurance/quality control (QA/QC). High quality control protocols were strictly enforced during sample collection, handling, preservation and laboratory analysis to ensure quality data generation to characterize the baseline conditions of the project area.</w:t>
      </w:r>
    </w:p>
    <w:p>
      <w:pPr>
        <w:pStyle w:val="BodyText"/>
      </w:pPr>
      <w:r>
        <w:rPr>
          <w:b/>
          <w:bCs/>
        </w:rPr>
        <w:t xml:space="preserve">4.6 Sampling Strategy and Field Data Collection</w:t>
      </w:r>
    </w:p>
    <w:p>
      <w:pPr>
        <w:pStyle w:val="BodyText"/>
      </w:pPr>
      <w:r>
        <w:t xml:space="preserve">The following was critical to the sampling strategy for the EIA study:</w:t>
      </w:r>
      <w:r>
        <w:t xml:space="preserve"> </w:t>
      </w:r>
      <w:r>
        <w:t xml:space="preserve">* Likely impacted areas/locations during construction and operational phase of the project</w:t>
      </w:r>
      <w:r>
        <w:t xml:space="preserve"> </w:t>
      </w:r>
      <w:r>
        <w:t xml:space="preserve">* Vulnerability of environmental attributes during project operation</w:t>
      </w:r>
      <w:r>
        <w:t xml:space="preserve"> </w:t>
      </w:r>
      <w:r>
        <w:t xml:space="preserve">* Buffer zone</w:t>
      </w:r>
    </w:p>
    <w:p>
      <w:pPr>
        <w:pStyle w:val="BodyText"/>
      </w:pPr>
      <w:r>
        <w:t xml:space="preserve">Sampling activities were conducted based on a pre-determined sampling plan. The objectives of the sampling activities are to:</w:t>
      </w:r>
      <w:r>
        <w:t xml:space="preserve"> </w:t>
      </w:r>
      <w:r>
        <w:t xml:space="preserve">1. Establish the existing state of the environment.</w:t>
      </w:r>
      <w:r>
        <w:t xml:space="preserve"> </w:t>
      </w:r>
      <w:r>
        <w:t xml:space="preserve">2. Appraise the existence of sensitive environmental components such as shallow groundwater, sacred places and shrines, etc.;</w:t>
      </w:r>
      <w:r>
        <w:t xml:space="preserve"> </w:t>
      </w:r>
      <w:r>
        <w:t xml:space="preserve">3. Evaluate the sensitivities of the various environmental components to the planned project activities</w:t>
      </w:r>
    </w:p>
    <w:p>
      <w:pPr>
        <w:pStyle w:val="BodyText"/>
      </w:pPr>
      <w:r>
        <w:t xml:space="preserve">The sampling points for each of the environmental media were based on geomorphic and other environmental considerations of the study area. Global Positioning Systems (GPS) coupled with Remote Sensing (RS) and geo-spatial (GIS) technologies were used to spatially reverence site and sampling points. The products of the GPS, RS and GIS were integrated to produce the various thematic (sampling) maps for the various environmental parameters in order to relate the spatial distribution of the sampling activities with respect to the project environment.</w:t>
      </w:r>
    </w:p>
    <w:p>
      <w:pPr>
        <w:pStyle w:val="BodyText"/>
      </w:pPr>
      <w:r>
        <w:t xml:space="preserve">The number of samples were determined by the type of data of interest and the relative variability of the sampling points. For example, while composite samples were taken for soil studies (top and sub-soil), the vegetation study (sampling) was based on a study of quadrants placed on representative areas of sample locations. However, the collection and laboratory analysis of all the field samples was conducted at Environmental Laboratories Limited, Ikosi-Ketu, Lagos.</w:t>
      </w:r>
    </w:p>
    <w:p>
      <w:pPr>
        <w:pStyle w:val="BodyText"/>
      </w:pPr>
      <w:r>
        <w:rPr>
          <w:b/>
          <w:bCs/>
        </w:rPr>
        <w:t xml:space="preserve">4.7 Quality Assurance / Quality Control</w:t>
      </w:r>
    </w:p>
    <w:p>
      <w:pPr>
        <w:pStyle w:val="BodyText"/>
      </w:pPr>
      <w:r>
        <w:t xml:space="preserve">The overall focus was the application of international standards to Quality &amp; Environmental aspects of the study thereby improving the proponent’s project execution performance. The study was managed and administered according to strict Quality Assurance procedures under the control of specific procedures, which ensures that Client needs and requirements are met for all aspects of the assessment. The QA/QC programme covered all aspects of the study including sample collection, handling, laboratory analyses, data evaluation, data storage and report writing.</w:t>
      </w:r>
    </w:p>
    <w:p>
      <w:pPr>
        <w:pStyle w:val="BodyText"/>
      </w:pPr>
      <w:r>
        <w:t xml:space="preserve">The procedures conformed with International Standard of Quality Management System (ISO 9001; 2015) &amp; Environmental Management System (ISO 14001:2015). The Quality Assurance programme used in the fieldwork and laboratory analyses is in accordance with international and National regulatory recommendations such as:</w:t>
      </w:r>
      <w:r>
        <w:t xml:space="preserve"> </w:t>
      </w:r>
      <w:r>
        <w:t xml:space="preserve">* Ensuring that only experienced and qualified personnel were engaged in the study;</w:t>
      </w:r>
      <w:r>
        <w:t xml:space="preserve"> </w:t>
      </w:r>
      <w:r>
        <w:t xml:space="preserve">* Carrying out field calibrations of equipment and running distilled water blanks to reduce errors that could arise from field measurements;</w:t>
      </w:r>
      <w:r>
        <w:t xml:space="preserve"> </w:t>
      </w:r>
      <w:r>
        <w:t xml:space="preserve">* Ensuring that replicate samples were collected and used as checks of instrument performance;</w:t>
      </w:r>
      <w:r>
        <w:t xml:space="preserve"> </w:t>
      </w:r>
      <w:r>
        <w:t xml:space="preserve">* Carrying out field analytical operations in a defined sequence to avoid cross contamination of instruments;</w:t>
      </w:r>
      <w:r>
        <w:t xml:space="preserve"> </w:t>
      </w:r>
      <w:r>
        <w:t xml:space="preserve">* Conducting in-situ Parameters such as temperature, pH, turbidity, electrical conductivity and dissolved oxygen because of their rapid change on storage as samples could be subject to microbial degradation and transformation. They were therefore analysed at minimum time after collection.</w:t>
      </w:r>
    </w:p>
    <w:p>
      <w:pPr>
        <w:pStyle w:val="BodyText"/>
      </w:pPr>
      <w:r>
        <w:rPr>
          <w:b/>
          <w:bCs/>
        </w:rPr>
        <w:t xml:space="preserve">4.8 Description of the Baseline Environment</w:t>
      </w:r>
    </w:p>
    <w:p>
      <w:pPr>
        <w:pStyle w:val="BodyText"/>
      </w:pPr>
      <w:r>
        <w:rPr>
          <w:b/>
          <w:bCs/>
        </w:rPr>
        <w:t xml:space="preserve">Climate / Meteorology</w:t>
      </w:r>
    </w:p>
    <w:p>
      <w:pPr>
        <w:pStyle w:val="BodyText"/>
      </w:pPr>
      <w:r>
        <w:t xml:space="preserve">The meteorological and air quality analysis for the study area tends to underscore the state of atmospheric variables on the environment. Meteorological variables such as wind speeds and direction, relative humidity, temperature are crucial in the evaluation of pollutant dispersions and effluents from both anthropogenic and natural induced activities that take place in any environment. The atmosphere serves as sink or a medium of transfer through meteorological activities for these impacts. Rainfall is the key climatic variable and there are marked alternation of wet and dry seasons in most areas. Two air masses controls rainfall - moist northward moving maritime air coming from the Atlantic Ocean and the dry continental air coming from the African Landmass. The climate of the area is affected by ocean and atmospheric interactions both within and outside its environment, in which the Inter-Tropical Convergence Zone (ITCZ) plays a controlling factor. The movement of the ITCZ is associated with the warm humid maritime Tropical air mass with its south-western winds and the hot and dry continental air mass with its dry north-easterly winds.</w:t>
      </w:r>
    </w:p>
    <w:p>
      <w:pPr>
        <w:pStyle w:val="BodyText"/>
      </w:pPr>
      <w:r>
        <w:rPr>
          <w:b/>
          <w:bCs/>
        </w:rPr>
        <w:t xml:space="preserve">Local Climate</w:t>
      </w:r>
    </w:p>
    <w:p>
      <w:pPr>
        <w:pStyle w:val="BodyText"/>
      </w:pPr>
      <w:r>
        <w:t xml:space="preserve">The climate of project study area falls under the humid tropical rainy climates classified by Koppen and Geiger 1954 as Aw. The extent of rainfall periods ranges from 119 - 220 days, with the highest number recorded between the months of July and September, while the lowest is recorded during December and January. A brief dry spell is recorded between the months of August (August break), however, this is not usual as August within the last few years yields high amount of rainfall in the area when compared to peak rainfall periods. The mean annual rainfall for Lagos is above 1,600mm with dominant wind direction being south-westerly during the wet season and northwesterly during the main dry season. The mean daily minimum temperature is about 23°C and a mean daily maximum temperature of about 31°C. The mean monthly relative humidity of the area varies from 70 - 89 %. Microclimatic data were acquired for the study area for a period of 24 hours and thirty (30) years (1989-2019) long term data (macroclimatic data) retrieved from the Nigerian Meteorological Agency, Lagos and literature sources. During field work survey, a weather monitoring equipment (Kestrel) was used to monitor the weather parameters essentially the temperature, wind speed, humidity, barometric pressure. Necessary precautions were taken when selecting the sampling points for measurement and during the duration measurements were observed for the onsite measurements to ensure that the data obtained are representatives of the proposed project location.</w:t>
      </w:r>
    </w:p>
    <w:p>
      <w:pPr>
        <w:pStyle w:val="BodyText"/>
      </w:pPr>
      <w:r>
        <w:t xml:space="preserve">Some of these precautions include setting up the weather monitoring equipment away from obstacles like buildings and tall vegetation, taking cognizance of the predominant wind direction, orienting the instrument so that the sun’s radiation does not fall directly on the instrument during reading and positioning the weather monitoring equipment in an area representative of the study area’s totality. Other air quality parameters monitored include:</w:t>
      </w:r>
      <w:r>
        <w:t xml:space="preserve"> </w:t>
      </w:r>
      <w:r>
        <w:t xml:space="preserve">a) Nitrogen Oxides</w:t>
      </w:r>
      <w:r>
        <w:t xml:space="preserve"> </w:t>
      </w:r>
      <w:r>
        <w:t xml:space="preserve">b) Sulphur Oxides</w:t>
      </w:r>
      <w:r>
        <w:t xml:space="preserve"> </w:t>
      </w:r>
      <w:r>
        <w:t xml:space="preserve">c) Volatile Organic Compound</w:t>
      </w:r>
      <w:r>
        <w:t xml:space="preserve"> </w:t>
      </w:r>
      <w:r>
        <w:t xml:space="preserve">d) Particulate Matters (PM2.5 and PM10)</w:t>
      </w:r>
      <w:r>
        <w:t xml:space="preserve"> </w:t>
      </w:r>
      <w:r>
        <w:t xml:space="preserve">e) Hydrogen sulphide</w:t>
      </w:r>
      <w:r>
        <w:t xml:space="preserve"> </w:t>
      </w:r>
      <w:r>
        <w:t xml:space="preserve">f) Carbon monoxide</w:t>
      </w:r>
    </w:p>
    <w:p>
      <w:pPr>
        <w:pStyle w:val="BodyText"/>
      </w:pPr>
      <w:r>
        <w:t xml:space="preserve">As earlier mentioned, the weather parameters were measured with a digital Kestrel meter with various sensors for the meteorological components and a digital compass for the wind direction. The Criteria air pollutants which include NOx, SOx, CO etc. were measured with the aid of Multi-RAE and V-RAE gas analyzer while the particulate matters were measured with an Aeroqual 500 PM monitor.</w:t>
      </w:r>
    </w:p>
    <w:p>
      <w:pPr>
        <w:pStyle w:val="BodyText"/>
      </w:pPr>
      <w:r>
        <w:rPr>
          <w:b/>
          <w:bCs/>
        </w:rPr>
        <w:t xml:space="preserve">Table 4.4: Weather pattern recorded within study area</w:t>
      </w:r>
      <w:r>
        <w:t xml:space="preserve"> </w:t>
      </w:r>
      <w:r>
        <w:t xml:space="preserve">| S/N | Monitoring Point (Coordinate) | Temp (°C) | Humidity (%) | Wind Speed (m/s) | Pressure (hPa) |</w:t>
      </w:r>
      <w:r>
        <w:t xml:space="preserve"> </w:t>
      </w:r>
      <w:r>
        <w:t xml:space="preserve">| :– | :— | :— | :— | :— | :— |</w:t>
      </w:r>
      <w:r>
        <w:t xml:space="preserve"> </w:t>
      </w:r>
      <w:r>
        <w:t xml:space="preserve">| 1 | 6.45374; 3.95671 | 34.2 | 66.8 | 1.7 | 1012.3 |</w:t>
      </w:r>
      <w:r>
        <w:t xml:space="preserve"> </w:t>
      </w:r>
      <w:r>
        <w:t xml:space="preserve">| 2 | 6.4542; 3.95654 | 33.8 | 70.2 | 1.6 | 1011.4 |</w:t>
      </w:r>
      <w:r>
        <w:t xml:space="preserve"> </w:t>
      </w:r>
      <w:r>
        <w:t xml:space="preserve">| 3 | 6.45523; 3.95775 | 33.2 | 63.6 | 3.1 | 1012.3 |</w:t>
      </w:r>
      <w:r>
        <w:t xml:space="preserve"> </w:t>
      </w:r>
      <w:r>
        <w:t xml:space="preserve">| 4 | 6.45645; 3.95934 | 35.8 | 69.4 | 3.3 | 1011.8 |</w:t>
      </w:r>
      <w:r>
        <w:t xml:space="preserve"> </w:t>
      </w:r>
      <w:r>
        <w:t xml:space="preserve">| 5 | 6.45797; 3.9592 | 34.2 | 72.0 | 1.9 | 1011.8 |</w:t>
      </w:r>
      <w:r>
        <w:t xml:space="preserve"> </w:t>
      </w:r>
      <w:r>
        <w:t xml:space="preserve">| 6 | 6.45923; 3.95869 | 31.4 | 75.3 | 1.3 | 1011.1 |</w:t>
      </w:r>
      <w:r>
        <w:t xml:space="preserve"> </w:t>
      </w:r>
      <w:r>
        <w:t xml:space="preserve">| 7 | 6.45773; 3.96081 | 34.5 | 69.3 | 2.5 | 1011.3 |</w:t>
      </w:r>
    </w:p>
    <w:p>
      <w:pPr>
        <w:pStyle w:val="BodyText"/>
      </w:pPr>
      <w:r>
        <w:rPr>
          <w:b/>
          <w:bCs/>
        </w:rPr>
        <w:t xml:space="preserve">Rainfall Pattern</w:t>
      </w:r>
    </w:p>
    <w:p>
      <w:pPr>
        <w:pStyle w:val="BodyText"/>
      </w:pPr>
      <w:r>
        <w:t xml:space="preserve">There was no rainfall amount measured during the period of fieldwork. Rainfall pattern over the period of twelve years around project area was generally high and it depicts a typical tropical climate. Double maxima (June and September) of rain fall were recorded. For the period analyzed, the rain fall amount rises gradually from January and peaked at June and nosedive from July to August. It peaked again at September and gradually decline in intensity till December (month with lowest rainfall amount). The moist tropical maritime air-mass and the dry tropical continental air mass are the two-dominant air-masses affecting the distribution of rainfall in Lagos generally and the project area in particular. It should therefore be noted that month of June (with an average of 323mm of rain) is usually the month with the highest impact rainfall amount that can disrupt several activities which may also affect the same operations of the proposed project.</w:t>
      </w:r>
    </w:p>
    <w:p>
      <w:pPr>
        <w:pStyle w:val="BodyText"/>
      </w:pPr>
      <w:r>
        <w:rPr>
          <w:b/>
          <w:bCs/>
        </w:rPr>
        <w:t xml:space="preserve">Table 4.5: Annual Total and Mean yearly Rainfall Characteristics</w:t>
      </w:r>
      <w:r>
        <w:t xml:space="preserve"> </w:t>
      </w:r>
      <w:r>
        <w:t xml:space="preserve">| Year | Annual Rainfall (mm) | Mean Yearly Rainfall (mm) |</w:t>
      </w:r>
      <w:r>
        <w:t xml:space="preserve"> </w:t>
      </w:r>
      <w:r>
        <w:t xml:space="preserve">| :– | :— | :— |</w:t>
      </w:r>
      <w:r>
        <w:t xml:space="preserve"> </w:t>
      </w:r>
      <w:r>
        <w:t xml:space="preserve">| 1990 | 1756 | 123.6 |</w:t>
      </w:r>
      <w:r>
        <w:t xml:space="preserve"> </w:t>
      </w:r>
      <w:r>
        <w:t xml:space="preserve">| 1991 | 1683 | 136.7 |</w:t>
      </w:r>
      <w:r>
        <w:t xml:space="preserve"> </w:t>
      </w:r>
      <w:r>
        <w:t xml:space="preserve">| 1992 | 1574 | 138.3 |</w:t>
      </w:r>
      <w:r>
        <w:t xml:space="preserve"> </w:t>
      </w:r>
      <w:r>
        <w:t xml:space="preserve">| 1993 | 1648 | 137 |</w:t>
      </w:r>
      <w:r>
        <w:t xml:space="preserve"> </w:t>
      </w:r>
      <w:r>
        <w:t xml:space="preserve">| 1994 | 1644 | 142 |</w:t>
      </w:r>
      <w:r>
        <w:t xml:space="preserve"> </w:t>
      </w:r>
      <w:r>
        <w:t xml:space="preserve">| 1995 | 1326 | 141 |</w:t>
      </w:r>
      <w:r>
        <w:t xml:space="preserve"> </w:t>
      </w:r>
      <w:r>
        <w:t xml:space="preserve">| 1996 | 1432 | 136 |</w:t>
      </w:r>
      <w:r>
        <w:t xml:space="preserve"> </w:t>
      </w:r>
      <w:r>
        <w:t xml:space="preserve">| 1997 | 1547 | 127.3 |</w:t>
      </w:r>
      <w:r>
        <w:t xml:space="preserve"> </w:t>
      </w:r>
      <w:r>
        <w:t xml:space="preserve">| 1998 | 1376 | 125.6 |</w:t>
      </w:r>
      <w:r>
        <w:t xml:space="preserve"> </w:t>
      </w:r>
      <w:r>
        <w:t xml:space="preserve">| 1999 | 1476 | 131.4 |</w:t>
      </w:r>
      <w:r>
        <w:t xml:space="preserve"> </w:t>
      </w:r>
      <w:r>
        <w:t xml:space="preserve">| 2000 | 1698 | 129.3 |</w:t>
      </w:r>
      <w:r>
        <w:t xml:space="preserve"> </w:t>
      </w:r>
      <w:r>
        <w:t xml:space="preserve">| 2001 | 1780 | 126 |</w:t>
      </w:r>
      <w:r>
        <w:t xml:space="preserve"> </w:t>
      </w:r>
      <w:r>
        <w:t xml:space="preserve">| 2002 | 1802.3 | 132.2 |</w:t>
      </w:r>
      <w:r>
        <w:t xml:space="preserve"> </w:t>
      </w:r>
      <w:r>
        <w:t xml:space="preserve">| 2003 | 1868 | 139 |</w:t>
      </w:r>
      <w:r>
        <w:t xml:space="preserve"> </w:t>
      </w:r>
      <w:r>
        <w:t xml:space="preserve">| 2004 | 1699.2 | 141.6 |</w:t>
      </w:r>
      <w:r>
        <w:t xml:space="preserve"> </w:t>
      </w:r>
      <w:r>
        <w:t xml:space="preserve">| 2005 | 1483.7 | 123.6 |</w:t>
      </w:r>
      <w:r>
        <w:t xml:space="preserve"> </w:t>
      </w:r>
      <w:r>
        <w:t xml:space="preserve">| 2006 | 1516.9 | 126.4 |</w:t>
      </w:r>
      <w:r>
        <w:t xml:space="preserve"> </w:t>
      </w:r>
      <w:r>
        <w:t xml:space="preserve">| 2007 | 1539.8 | 128.3 |</w:t>
      </w:r>
      <w:r>
        <w:t xml:space="preserve"> </w:t>
      </w:r>
      <w:r>
        <w:t xml:space="preserve">| 2008 | 1553.7 | 129.5 |</w:t>
      </w:r>
      <w:r>
        <w:t xml:space="preserve"> </w:t>
      </w:r>
      <w:r>
        <w:t xml:space="preserve">| 2009 | 1749.2 | 145.7 |</w:t>
      </w:r>
      <w:r>
        <w:t xml:space="preserve"> </w:t>
      </w:r>
      <w:r>
        <w:t xml:space="preserve">| 2010 | 1669.5 | 139.1 |</w:t>
      </w:r>
      <w:r>
        <w:t xml:space="preserve"> </w:t>
      </w:r>
      <w:r>
        <w:t xml:space="preserve">| 2011 | 1748 | 145.7 |</w:t>
      </w:r>
      <w:r>
        <w:t xml:space="preserve"> </w:t>
      </w:r>
      <w:r>
        <w:t xml:space="preserve">| 2012 | 1557 | 129.7 |</w:t>
      </w:r>
      <w:r>
        <w:t xml:space="preserve"> </w:t>
      </w:r>
      <w:r>
        <w:t xml:space="preserve">| 2013 | 1726.7 | 143.9 |</w:t>
      </w:r>
      <w:r>
        <w:t xml:space="preserve"> </w:t>
      </w:r>
      <w:r>
        <w:t xml:space="preserve">| 2014 | 1756.8 | 146.9 |</w:t>
      </w:r>
      <w:r>
        <w:t xml:space="preserve"> </w:t>
      </w:r>
      <w:r>
        <w:t xml:space="preserve">| 2015 | 1786 | 136 |</w:t>
      </w:r>
      <w:r>
        <w:t xml:space="preserve"> </w:t>
      </w:r>
      <w:r>
        <w:t xml:space="preserve">| 2016 | 1745 | 137 |</w:t>
      </w:r>
      <w:r>
        <w:t xml:space="preserve"> </w:t>
      </w:r>
      <w:r>
        <w:t xml:space="preserve">| 2017 | 1845 | 143.2 |</w:t>
      </w:r>
      <w:r>
        <w:t xml:space="preserve"> </w:t>
      </w:r>
      <w:r>
        <w:t xml:space="preserve">| 2018 | 1758 | 141.5 |</w:t>
      </w:r>
      <w:r>
        <w:t xml:space="preserve"> </w:t>
      </w:r>
      <w:r>
        <w:t xml:space="preserve">| 2019 | 1758 | 142 |</w:t>
      </w:r>
      <w:r>
        <w:t xml:space="preserve"> </w:t>
      </w:r>
      <w:r>
        <w:t xml:space="preserve">| 2020 | 1764 | 134 |</w:t>
      </w:r>
      <w:r>
        <w:t xml:space="preserve"> </w:t>
      </w:r>
      <w:r>
        <w:rPr>
          <w:i/>
          <w:iCs/>
        </w:rPr>
        <w:t xml:space="preserve">Source: Computed from NIMET (2020)</w:t>
      </w:r>
    </w:p>
    <w:p>
      <w:pPr>
        <w:pStyle w:val="BodyText"/>
      </w:pPr>
      <w:r>
        <w:rPr>
          <w:b/>
          <w:bCs/>
        </w:rPr>
        <w:t xml:space="preserve">Table 4.6: Mean Monthly Rainfall (MM) (1980 - 2020) in the Project Area</w:t>
      </w:r>
      <w:r>
        <w:t xml:space="preserve"> </w:t>
      </w:r>
      <w:r>
        <w:t xml:space="preserve">(This table was referenced but not provided in the text of Chapter 4.)</w:t>
      </w:r>
    </w:p>
    <w:p>
      <w:pPr>
        <w:pStyle w:val="BodyText"/>
      </w:pPr>
      <w:r>
        <w:rPr>
          <w:b/>
          <w:bCs/>
        </w:rPr>
        <w:t xml:space="preserve">Ambient Temperature</w:t>
      </w:r>
    </w:p>
    <w:p>
      <w:pPr>
        <w:pStyle w:val="BodyText"/>
      </w:pPr>
      <w:r>
        <w:t xml:space="preserve">Maximum and minimum onsite temperature was 35.8 °C and the minimum recorded was 31.4°C (Table 4.4). Analysis from the macro data (NiMET) shows that the months of July-September recorded lower temperatures (27°C) due to rainy periods while the months December to March recorded higher temperatures (29-35°C) due to intense solar radiation prevalent in the dry season. The degree of air temperature is dependent on the amount of solar radiation received and this impact on the stability pattern of the atmosphere in the area. Lagos exhibit a stable stability condition at nights that inhibits emission dispersion and slightly unstable/moderate stability classes during the day periods that enhances emission dispersions.</w:t>
      </w:r>
    </w:p>
    <w:p>
      <w:pPr>
        <w:pStyle w:val="BodyText"/>
      </w:pPr>
      <w:r>
        <w:rPr>
          <w:b/>
          <w:bCs/>
        </w:rPr>
        <w:t xml:space="preserve">Average Temperature of the study area</w:t>
      </w:r>
      <w:r>
        <w:t xml:space="preserve"> </w:t>
      </w:r>
      <w:r>
        <w:t xml:space="preserve">(This is likely Table 4.6, based on the text flow)</w:t>
      </w:r>
      <w:r>
        <w:t xml:space="preserve"> </w:t>
      </w:r>
      <w:r>
        <w:t xml:space="preserve">| S/N | Month | Average Temp (°C) |</w:t>
      </w:r>
      <w:r>
        <w:t xml:space="preserve"> </w:t>
      </w:r>
      <w:r>
        <w:t xml:space="preserve">| :– | :– | :— |</w:t>
      </w:r>
      <w:r>
        <w:t xml:space="preserve"> </w:t>
      </w:r>
      <w:r>
        <w:t xml:space="preserve">| 1. | January | 29.5 |</w:t>
      </w:r>
      <w:r>
        <w:t xml:space="preserve"> </w:t>
      </w:r>
      <w:r>
        <w:t xml:space="preserve">| 2. | February | 30.1 |</w:t>
      </w:r>
      <w:r>
        <w:t xml:space="preserve"> </w:t>
      </w:r>
      <w:r>
        <w:t xml:space="preserve">| 3. | March | 30.1 |</w:t>
      </w:r>
      <w:r>
        <w:t xml:space="preserve"> </w:t>
      </w:r>
      <w:r>
        <w:t xml:space="preserve">| 4. | April | 29.6 |</w:t>
      </w:r>
      <w:r>
        <w:t xml:space="preserve"> </w:t>
      </w:r>
      <w:r>
        <w:t xml:space="preserve">| 5. | May | 29.3 |</w:t>
      </w:r>
      <w:r>
        <w:t xml:space="preserve"> </w:t>
      </w:r>
      <w:r>
        <w:t xml:space="preserve">| 6. | June | 28.2 |</w:t>
      </w:r>
      <w:r>
        <w:t xml:space="preserve"> </w:t>
      </w:r>
      <w:r>
        <w:t xml:space="preserve">| 7. | July | 27.3 |</w:t>
      </w:r>
      <w:r>
        <w:t xml:space="preserve"> </w:t>
      </w:r>
      <w:r>
        <w:t xml:space="preserve">| 8. | August | 27.7 |</w:t>
      </w:r>
      <w:r>
        <w:t xml:space="preserve"> </w:t>
      </w:r>
      <w:r>
        <w:t xml:space="preserve">| 9 | September | 27.2 |</w:t>
      </w:r>
      <w:r>
        <w:t xml:space="preserve"> </w:t>
      </w:r>
      <w:r>
        <w:t xml:space="preserve">| 10. | October | 28.5 |</w:t>
      </w:r>
      <w:r>
        <w:t xml:space="preserve"> </w:t>
      </w:r>
      <w:r>
        <w:t xml:space="preserve">| 11. | November | 29.5 |</w:t>
      </w:r>
      <w:r>
        <w:t xml:space="preserve"> </w:t>
      </w:r>
      <w:r>
        <w:t xml:space="preserve">| 12. | December | 29.6 |</w:t>
      </w:r>
      <w:r>
        <w:t xml:space="preserve"> </w:t>
      </w:r>
      <w:r>
        <w:rPr>
          <w:i/>
          <w:iCs/>
        </w:rPr>
        <w:t xml:space="preserve">Source: NIMET, Lagos.</w:t>
      </w:r>
    </w:p>
    <w:p>
      <w:pPr>
        <w:pStyle w:val="BodyText"/>
      </w:pPr>
      <w:r>
        <w:rPr>
          <w:b/>
          <w:bCs/>
        </w:rPr>
        <w:t xml:space="preserve">Relative Humidity</w:t>
      </w:r>
    </w:p>
    <w:p>
      <w:pPr>
        <w:pStyle w:val="BodyText"/>
      </w:pPr>
      <w:r>
        <w:t xml:space="preserve">The maximum relative humidity observed during fieldwork was 75.3%, while the minimum recorded was 63.6%. Relative humidity which measures water vapour in the atmosphere is noted to be low during dry season and high during the peak of rainy season due to the influence of moisture laden south-westerly’s as seen from the macro average monthly results.</w:t>
      </w:r>
    </w:p>
    <w:p>
      <w:pPr>
        <w:pStyle w:val="BodyText"/>
      </w:pPr>
      <w:r>
        <w:rPr>
          <w:b/>
          <w:bCs/>
        </w:rPr>
        <w:t xml:space="preserve">Table 4.7: Relative humidity of the study area</w:t>
      </w:r>
      <w:r>
        <w:t xml:space="preserve"> </w:t>
      </w:r>
      <w:r>
        <w:t xml:space="preserve">| S/N | Month | Relative Humidity (%) |</w:t>
      </w:r>
      <w:r>
        <w:t xml:space="preserve"> </w:t>
      </w:r>
      <w:r>
        <w:t xml:space="preserve">| :– | :– | :— |</w:t>
      </w:r>
      <w:r>
        <w:t xml:space="preserve"> </w:t>
      </w:r>
      <w:r>
        <w:t xml:space="preserve">| 1. | January | 77 |</w:t>
      </w:r>
      <w:r>
        <w:t xml:space="preserve"> </w:t>
      </w:r>
      <w:r>
        <w:t xml:space="preserve">| 2. | February | 81 |</w:t>
      </w:r>
      <w:r>
        <w:t xml:space="preserve"> </w:t>
      </w:r>
      <w:r>
        <w:t xml:space="preserve">| 3. | March | 84 |</w:t>
      </w:r>
      <w:r>
        <w:t xml:space="preserve"> </w:t>
      </w:r>
      <w:r>
        <w:t xml:space="preserve">| 4. | April | 85 |</w:t>
      </w:r>
      <w:r>
        <w:t xml:space="preserve"> </w:t>
      </w:r>
      <w:r>
        <w:t xml:space="preserve">| 5. | May | 85 |</w:t>
      </w:r>
      <w:r>
        <w:t xml:space="preserve"> </w:t>
      </w:r>
      <w:r>
        <w:t xml:space="preserve">| 6. | June | 87 |</w:t>
      </w:r>
      <w:r>
        <w:t xml:space="preserve"> </w:t>
      </w:r>
      <w:r>
        <w:t xml:space="preserve">| 7. | July | 87 |</w:t>
      </w:r>
      <w:r>
        <w:t xml:space="preserve"> </w:t>
      </w:r>
      <w:r>
        <w:t xml:space="preserve">| 8. | August | 88 |</w:t>
      </w:r>
      <w:r>
        <w:t xml:space="preserve"> </w:t>
      </w:r>
      <w:r>
        <w:t xml:space="preserve">| 9. | September | 89 |</w:t>
      </w:r>
      <w:r>
        <w:t xml:space="preserve"> </w:t>
      </w:r>
      <w:r>
        <w:t xml:space="preserve">| 10. | October | 87 |</w:t>
      </w:r>
      <w:r>
        <w:t xml:space="preserve"> </w:t>
      </w:r>
      <w:r>
        <w:t xml:space="preserve">| 11. | November | 83 |</w:t>
      </w:r>
      <w:r>
        <w:t xml:space="preserve"> </w:t>
      </w:r>
      <w:r>
        <w:t xml:space="preserve">| 12. | December | 78 |</w:t>
      </w:r>
      <w:r>
        <w:t xml:space="preserve"> </w:t>
      </w:r>
      <w:r>
        <w:rPr>
          <w:i/>
          <w:iCs/>
        </w:rPr>
        <w:t xml:space="preserve">Source: NIMET, Lagos.</w:t>
      </w:r>
    </w:p>
    <w:p>
      <w:pPr>
        <w:pStyle w:val="BodyText"/>
      </w:pPr>
      <w:r>
        <w:rPr>
          <w:b/>
          <w:bCs/>
        </w:rPr>
        <w:t xml:space="preserve">Table 4.8: Average Weather Trend for Lagos (1991-2021).</w:t>
      </w:r>
      <w:r>
        <w:t xml:space="preserve"> </w:t>
      </w:r>
      <w:r>
        <w:t xml:space="preserve">| Month | Average Temp (°C) | Rainfall (mm) | Pressure (hPa) | R/H (%) | Wind Speed (m/s) | Wind Dir. |</w:t>
      </w:r>
      <w:r>
        <w:t xml:space="preserve"> </w:t>
      </w:r>
      <w:r>
        <w:t xml:space="preserve">| :— | :— | :— | :— | :— | :— | :— |</w:t>
      </w:r>
      <w:r>
        <w:t xml:space="preserve"> </w:t>
      </w:r>
      <w:r>
        <w:t xml:space="preserve">| January | 29.5 | 19 | 1009 | 77 | 2.9 | NE |</w:t>
      </w:r>
      <w:r>
        <w:t xml:space="preserve"> </w:t>
      </w:r>
      <w:r>
        <w:t xml:space="preserve">| February | 30.1 | 49 | 1008 | 81 | 3.4 | SW |</w:t>
      </w:r>
      <w:r>
        <w:t xml:space="preserve"> </w:t>
      </w:r>
      <w:r>
        <w:t xml:space="preserve">| March | 30.1 | 85 | 1008 | 84 | 3.8 | SW |</w:t>
      </w:r>
      <w:r>
        <w:t xml:space="preserve"> </w:t>
      </w:r>
      <w:r>
        <w:t xml:space="preserve">| April | 29.6 | 137 | 1008 | 85 | 3.8 | SW |</w:t>
      </w:r>
      <w:r>
        <w:t xml:space="preserve"> </w:t>
      </w:r>
      <w:r>
        <w:t xml:space="preserve">| May | 29.3 | 245 | 1009 | 85 | 3.6 | SW |</w:t>
      </w:r>
      <w:r>
        <w:t xml:space="preserve"> </w:t>
      </w:r>
      <w:r>
        <w:t xml:space="preserve">| June | 28.2 | 374 | 1011 | 87 | 4.2 | SW |</w:t>
      </w:r>
      <w:r>
        <w:t xml:space="preserve"> </w:t>
      </w:r>
      <w:r>
        <w:t xml:space="preserve">| July | 27.3 | 237 | 1012 | 87 | 4.8 | SW |</w:t>
      </w:r>
      <w:r>
        <w:t xml:space="preserve"> </w:t>
      </w:r>
      <w:r>
        <w:t xml:space="preserve">| August | 27.7 | 98 | 1012 | 88 | 4.8 | SW |</w:t>
      </w:r>
      <w:r>
        <w:t xml:space="preserve"> </w:t>
      </w:r>
      <w:r>
        <w:t xml:space="preserve">| September | 27.2 | 188 | 1011 | 89 | 4.3 | SW |</w:t>
      </w:r>
      <w:r>
        <w:t xml:space="preserve"> </w:t>
      </w:r>
      <w:r>
        <w:t xml:space="preserve">| October | 28.5 | 165 | 1010 | 87 | 3.5 | SW |</w:t>
      </w:r>
      <w:r>
        <w:t xml:space="preserve"> </w:t>
      </w:r>
      <w:r>
        <w:t xml:space="preserve">| November | 29.5 | 64 | 1009 | 83 | 2.8 | SW |</w:t>
      </w:r>
      <w:r>
        <w:t xml:space="preserve"> </w:t>
      </w:r>
      <w:r>
        <w:t xml:space="preserve">| December | 29.6 | 21 | 1009 | 78 | 2.5 | NE |</w:t>
      </w:r>
      <w:r>
        <w:t xml:space="preserve"> </w:t>
      </w:r>
      <w:r>
        <w:rPr>
          <w:i/>
          <w:iCs/>
        </w:rPr>
        <w:t xml:space="preserve">Source: NIMET, Lagos.</w:t>
      </w:r>
    </w:p>
    <w:p>
      <w:pPr>
        <w:pStyle w:val="BodyText"/>
      </w:pPr>
      <w:r>
        <w:rPr>
          <w:b/>
          <w:bCs/>
        </w:rPr>
        <w:t xml:space="preserve">Wind Speed and Direction</w:t>
      </w:r>
    </w:p>
    <w:p>
      <w:pPr>
        <w:pStyle w:val="BodyText"/>
      </w:pPr>
      <w:r>
        <w:t xml:space="preserve">Mean wind speed measurement for the study was 2.2 m/sec. Generally, wind speeds are usually maximum during the day and minimum at dawn. The macro average annual wind speed pattern indicates that rainy periods (March-September) maintains higher trend than the dry season (Table 4.9). This trend is also the same for the macroclimatic data retrieved from the Nigerian Meteorological Agency. This implies that emissions will be transferred towards the north-east and sometimes eastern direction of the study environment.</w:t>
      </w:r>
    </w:p>
    <w:p>
      <w:pPr>
        <w:pStyle w:val="BodyText"/>
      </w:pPr>
      <w:r>
        <w:t xml:space="preserve">Wind speed classification from the area shows that the wind speed range of 0.5 -2.1 m/s constituted 48.5% while the ranges 2.1 - 3.6 m/s and 3.6 - 5.7 m/s constituted 25 % each. It is however the period of calm that is of importance in evaluating emissions (4.17%). In pollution meteorology calms are associated with inversions (temperature increasing with height). Inversion may result in fumigation; meaning that emissions are trapped at ground level close to their source as against other situations where it is dispersed and diluted much more easily. Inversion is widely known to be frequent during the early hours in the seasons’ transition periods.</w:t>
      </w:r>
    </w:p>
    <w:p>
      <w:pPr>
        <w:pStyle w:val="BodyText"/>
      </w:pPr>
      <w:r>
        <w:rPr>
          <w:b/>
          <w:bCs/>
        </w:rPr>
        <w:t xml:space="preserve">Table 4.9: Wind speed and direction of the study area</w:t>
      </w:r>
      <w:r>
        <w:t xml:space="preserve"> </w:t>
      </w:r>
      <w:r>
        <w:t xml:space="preserve">| S/N | Month | Wind Speed (m/s) |</w:t>
      </w:r>
      <w:r>
        <w:t xml:space="preserve"> </w:t>
      </w:r>
      <w:r>
        <w:t xml:space="preserve">| :– | :– | :— |</w:t>
      </w:r>
      <w:r>
        <w:t xml:space="preserve"> </w:t>
      </w:r>
      <w:r>
        <w:t xml:space="preserve">| 1. | January | 2.9 |</w:t>
      </w:r>
      <w:r>
        <w:t xml:space="preserve"> </w:t>
      </w:r>
      <w:r>
        <w:t xml:space="preserve">| 2. | February | 3.4 |</w:t>
      </w:r>
      <w:r>
        <w:t xml:space="preserve"> </w:t>
      </w:r>
      <w:r>
        <w:t xml:space="preserve">| 3 | March | 3.8 |</w:t>
      </w:r>
      <w:r>
        <w:t xml:space="preserve"> </w:t>
      </w:r>
      <w:r>
        <w:t xml:space="preserve">| 4 | April | 3.8 |</w:t>
      </w:r>
      <w:r>
        <w:t xml:space="preserve"> </w:t>
      </w:r>
      <w:r>
        <w:t xml:space="preserve">| 5 | May | 3.6 |</w:t>
      </w:r>
      <w:r>
        <w:t xml:space="preserve"> </w:t>
      </w:r>
      <w:r>
        <w:t xml:space="preserve">| 6 | June | 4.2 |</w:t>
      </w:r>
      <w:r>
        <w:t xml:space="preserve"> </w:t>
      </w:r>
      <w:r>
        <w:t xml:space="preserve">| 7 | July | 4.8 |</w:t>
      </w:r>
      <w:r>
        <w:t xml:space="preserve"> </w:t>
      </w:r>
      <w:r>
        <w:t xml:space="preserve">| 8 | August | 4.8 |</w:t>
      </w:r>
      <w:r>
        <w:t xml:space="preserve"> </w:t>
      </w:r>
      <w:r>
        <w:t xml:space="preserve">| 9 | September | 4.3 |</w:t>
      </w:r>
      <w:r>
        <w:t xml:space="preserve"> </w:t>
      </w:r>
      <w:r>
        <w:t xml:space="preserve">| 10. | October | 3.5 |</w:t>
      </w:r>
      <w:r>
        <w:t xml:space="preserve"> </w:t>
      </w:r>
      <w:r>
        <w:t xml:space="preserve">| 11. | November | 2.8 |</w:t>
      </w:r>
      <w:r>
        <w:t xml:space="preserve"> </w:t>
      </w:r>
      <w:r>
        <w:t xml:space="preserve">| 12. | December | 2.5 |</w:t>
      </w:r>
    </w:p>
    <w:p>
      <w:pPr>
        <w:pStyle w:val="BodyText"/>
      </w:pPr>
      <w:r>
        <w:rPr>
          <w:b/>
          <w:bCs/>
        </w:rPr>
        <w:t xml:space="preserve">Table 4.10: Wind speed range of the study area</w:t>
      </w:r>
      <w:r>
        <w:t xml:space="preserve"> </w:t>
      </w:r>
      <w:r>
        <w:t xml:space="preserve">| Windspeed (m/s) Range | % |</w:t>
      </w:r>
      <w:r>
        <w:t xml:space="preserve"> </w:t>
      </w:r>
      <w:r>
        <w:t xml:space="preserve">| :— | :- |</w:t>
      </w:r>
      <w:r>
        <w:t xml:space="preserve"> </w:t>
      </w:r>
      <w:r>
        <w:t xml:space="preserve">| 0.5-2.1 | 48.5 |</w:t>
      </w:r>
      <w:r>
        <w:t xml:space="preserve"> </w:t>
      </w:r>
      <w:r>
        <w:t xml:space="preserve">| 2.1-3.6 | 25 |</w:t>
      </w:r>
      <w:r>
        <w:t xml:space="preserve"> </w:t>
      </w:r>
      <w:r>
        <w:t xml:space="preserve">| 3.6-5.7 | 25 |</w:t>
      </w:r>
    </w:p>
    <w:p>
      <w:pPr>
        <w:pStyle w:val="BodyText"/>
      </w:pPr>
      <w:r>
        <w:rPr>
          <w:b/>
          <w:bCs/>
        </w:rPr>
        <w:t xml:space="preserve">Cloud Cover</w:t>
      </w:r>
    </w:p>
    <w:p>
      <w:pPr>
        <w:pStyle w:val="BodyText"/>
      </w:pPr>
      <w:r>
        <w:t xml:space="preserve">Generally, the weather condition during the period of field observation was relatively clear and the average cloud cover was 6 Oktas. High amounts of cloud inhibit instability that enhances the dispersion of plumes and lower amounts promote atmospheric dispersion of plumes. Cloud cover is prominent during rainy periods and minimal during dry seasons which either allow or hinder the penetration of solar energy which increases/decreases heat during these periods.</w:t>
      </w:r>
    </w:p>
    <w:p>
      <w:pPr>
        <w:pStyle w:val="BodyText"/>
      </w:pPr>
      <w:r>
        <w:rPr>
          <w:b/>
          <w:bCs/>
        </w:rPr>
        <w:t xml:space="preserve">Atmospheric Pressure</w:t>
      </w:r>
    </w:p>
    <w:p>
      <w:pPr>
        <w:pStyle w:val="BodyText"/>
      </w:pPr>
      <w:r>
        <w:t xml:space="preserve">Atmospheric pressure at sea level measured during the period of field work was between 1011.3-1012.3hPa. An important characteristic of the atmosphere is its pressure as it often determines wind and weather pattern across an area. The normal range of the earth’s air pressure is from 970mbar to 1050mbar. These differences are the results of low and high air pressure systems which are caused by unequal heating across surfaces. Low pressure areas are usually associated with high winds, warm air and atmospheric lifting. Because of this, lows normally produce clouds, precipitation and other bad weather such as tropical storms and cyclones. Unlike areas of low pressure, the absence of clouds means that areas prone to high pressure experience extremes in diurnal and seasonal temperatures since there are no clouds to black incoming solar radiation or trap outgoing long wave radiation.</w:t>
      </w:r>
    </w:p>
    <w:p>
      <w:pPr>
        <w:pStyle w:val="BodyText"/>
      </w:pPr>
      <w:r>
        <w:t xml:space="preserve">Field study revealed that the average weather parameters monitored for the study environment showed that ambient temperature, relative humidity, wind speed/direction, atmospheric pressure were 33.9°C, 69.5%, 2.2 m/s, SW, 1011.8hPa respectively. The study area features a humid tropical wet climate that is typical of the coastal areas in Nigeria. There are two rainy seasons, with the heaviest rains falling from June to July and a weaker rainy season in September and October. There is a brief relatively dry spell in August and a dry spell from December to February. Average annual rainfall is greater than 1,600 mm and ambient temperature in the range 23oC to 31oC. Relative humidity is always high during rainy months due to the presence of cloud cover and slightly lower during the dry season. One of the important weather parameters (wind speed/direction) analyzed shows that the dominant wind direction is WSW, meaning that air emissions will be dispersed at the north-east and eastern directions of the study environment. During field sampling wind speed was generally low at night and moderate during the day meaning that emissions would disperse faster during the day than at night. Ambient air quality measured for observed pollutants indicated a very low concentrations and far below set limits. Noise levels monitored were moderate and within ambient standards, except for periods of increased human activities which increases the noise levels.</w:t>
      </w:r>
    </w:p>
    <w:p>
      <w:pPr>
        <w:pStyle w:val="BodyText"/>
      </w:pPr>
      <w:r>
        <w:rPr>
          <w:b/>
          <w:bCs/>
        </w:rPr>
        <w:t xml:space="preserve">4.9 Field Studies and Laboratory Analysis</w:t>
      </w:r>
    </w:p>
    <w:p>
      <w:pPr>
        <w:pStyle w:val="BodyText"/>
      </w:pPr>
      <w:r>
        <w:t xml:space="preserve">Field studies were carried out between 11th and 13th November, 2022 to collect relevant baseline data of the study area. The main objective of the field data acquisition was to establish the current biophysical, social and health status of the local environment status of the project through collection of air, soil, groundwater, surface water, planktons, and benthos and sediment samples including ambient air quality and noise measurement. The baseline data acquisition exercise was undertaken for dry season and was witnessed by officers from Lagos State Ministry of the Environment and Water Resource.</w:t>
      </w:r>
    </w:p>
    <w:p>
      <w:pPr>
        <w:pStyle w:val="BodyText"/>
      </w:pPr>
      <w:r>
        <w:t xml:space="preserve">Samples collected were analyzed at the Environmental Laboratories Limited at 28 Apaola Street, off Aladelola Street, Ikosi-Ketu, Lagos and methodologies used for sample analyses were based on the American Society for Testing and Materials (ASTM) and American Public Health Association (APHA).</w:t>
      </w:r>
    </w:p>
    <w:p>
      <w:pPr>
        <w:pStyle w:val="BodyText"/>
      </w:pPr>
      <w:r>
        <w:rPr>
          <w:b/>
          <w:bCs/>
        </w:rPr>
        <w:t xml:space="preserve">(i) Sample Collection and Handling</w:t>
      </w:r>
    </w:p>
    <w:p>
      <w:pPr>
        <w:pStyle w:val="BodyText"/>
      </w:pPr>
      <w:r>
        <w:t xml:space="preserve">The following sample collection and handling procedures were adopted, in accordance with international best practice:</w:t>
      </w:r>
      <w:r>
        <w:t xml:space="preserve"> </w:t>
      </w:r>
      <w:r>
        <w:t xml:space="preserve">* Only standard field procedure and method approved by Federal Ministry of Environment (FMEnv) 1995 were adopted.</w:t>
      </w:r>
      <w:r>
        <w:t xml:space="preserve"> </w:t>
      </w:r>
      <w:r>
        <w:t xml:space="preserve">* All sampling equipment were maintained in excellent condition, calibrated against international standards and adequate steps were taken to ensure that they function normally.</w:t>
      </w:r>
      <w:r>
        <w:t xml:space="preserve"> </w:t>
      </w:r>
      <w:r>
        <w:t xml:space="preserve">* Only new and thoroughly washed, rinsed and sterilized sampling containers were used.</w:t>
      </w:r>
      <w:r>
        <w:t xml:space="preserve"> </w:t>
      </w:r>
      <w:r>
        <w:t xml:space="preserve">* For heavy metal determination, sampling bottles were used and were rinsed with a solution of one part nitric acid to four-parts water, followed by copious amounts of distilled water.</w:t>
      </w:r>
      <w:r>
        <w:t xml:space="preserve"> </w:t>
      </w:r>
      <w:r>
        <w:t xml:space="preserve">* Water samples for BOD5 determination were collected in black oxygen bottles and kept away from light source.</w:t>
      </w:r>
      <w:r>
        <w:t xml:space="preserve"> </w:t>
      </w:r>
      <w:r>
        <w:t xml:space="preserve">* All parameters without holding time were measured in situ on the field.</w:t>
      </w:r>
      <w:r>
        <w:t xml:space="preserve"> </w:t>
      </w:r>
      <w:r>
        <w:t xml:space="preserve">* Samples for other ex-situ parameters were preserved as soon as they were collected. Dissolved oxygen samples were fixed with Winkler’s Reagents; oil and grease and heavy metal samples were acidified to a pH of about 2 with concentrated HNO3 respectively.</w:t>
      </w:r>
      <w:r>
        <w:t xml:space="preserve"> </w:t>
      </w:r>
      <w:r>
        <w:t xml:space="preserve">* All samples were adequately labeled to preserve their identity. Label included sample reference code number, source, sampling date and time etc.</w:t>
      </w:r>
      <w:r>
        <w:t xml:space="preserve"> </w:t>
      </w:r>
      <w:r>
        <w:t xml:space="preserve">* All samples were safely packed and transported to the laboratory base.</w:t>
      </w:r>
    </w:p>
    <w:p>
      <w:pPr>
        <w:pStyle w:val="BodyText"/>
      </w:pPr>
      <w:r>
        <w:rPr>
          <w:b/>
          <w:bCs/>
        </w:rPr>
        <w:t xml:space="preserve">(ii) Sample Preservation</w:t>
      </w:r>
    </w:p>
    <w:p>
      <w:pPr>
        <w:pStyle w:val="BodyText"/>
      </w:pPr>
      <w:r>
        <w:t xml:space="preserve">To avoid samples contamination and deterioration, sampling tools and containers were pre-sterilized. Other measures employed included pre-treating and preserving samples in transit in ice-cooled chests to the laboratory and stored at that temperature in refrigerators pending subsequent analysis. All parameters with short holding time such as pH and temperature were measured in situ, while samples for delayed analyses were preserved by refrigeration (for general water chemistry), pH adjustment or chemical pre-treatment (for heavy metals, Total Hydrocarbon, Dissolved Oxygen).</w:t>
      </w:r>
    </w:p>
    <w:p>
      <w:pPr>
        <w:pStyle w:val="BodyText"/>
      </w:pPr>
      <w:r>
        <w:t xml:space="preserve">Dissolved Oxygen were acidified to a pH 2 with concentrated H2SO4 and HNO3 respectively and samples for microbiology and benthos were stored immediately in ice-cooled chest (at 4°C) in transit to the laboratory base where they were stored in refrigerators. A summary of the preservation methods for each samples are presented in Table 4.11.</w:t>
      </w:r>
    </w:p>
    <w:p>
      <w:pPr>
        <w:pStyle w:val="BodyText"/>
      </w:pPr>
      <w:r>
        <w:rPr>
          <w:b/>
          <w:bCs/>
        </w:rPr>
        <w:t xml:space="preserve">Table 4.11: Field Sample Handling and Preservation Procedures</w:t>
      </w:r>
      <w:r>
        <w:t xml:space="preserve"> </w:t>
      </w:r>
      <w:r>
        <w:t xml:space="preserve">| Parameters | Volume required (mL) | Container | Maximum Holding Time | Preservation |</w:t>
      </w:r>
      <w:r>
        <w:t xml:space="preserve"> </w:t>
      </w:r>
      <w:r>
        <w:t xml:space="preserve">| :— | :— | :— | :— | :— |</w:t>
      </w:r>
      <w:r>
        <w:t xml:space="preserve"> </w:t>
      </w:r>
      <w:r>
        <w:t xml:space="preserve">| pH | 25 | P,G | 6 hrs | In situ determination |</w:t>
      </w:r>
      <w:r>
        <w:t xml:space="preserve"> </w:t>
      </w:r>
      <w:r>
        <w:t xml:space="preserve">| Conductivity | 100 | P, G | 24hrs | In situ determination |</w:t>
      </w:r>
      <w:r>
        <w:t xml:space="preserve"> </w:t>
      </w:r>
      <w:r>
        <w:t xml:space="preserve">| Colour | 50 | P,G | 24hrs | In situ determination |</w:t>
      </w:r>
      <w:r>
        <w:t xml:space="preserve"> </w:t>
      </w:r>
      <w:r>
        <w:t xml:space="preserve">| Odour | 200 | G | 24hrs | In situ determination |</w:t>
      </w:r>
      <w:r>
        <w:t xml:space="preserve"> </w:t>
      </w:r>
      <w:r>
        <w:t xml:space="preserve">| Turbidity | 100 | P,G | 7 days | In situ determination |</w:t>
      </w:r>
      <w:r>
        <w:t xml:space="preserve"> </w:t>
      </w:r>
      <w:r>
        <w:t xml:space="preserve">| Total Solids | 50 | P, G | 6 months | Filter on site |</w:t>
      </w:r>
      <w:r>
        <w:t xml:space="preserve"> </w:t>
      </w:r>
      <w:r>
        <w:t xml:space="preserve">| Total Dissolved Solids | 50 | - | 6 months | Filter on site |</w:t>
      </w:r>
      <w:r>
        <w:t xml:space="preserve"> </w:t>
      </w:r>
      <w:r>
        <w:t xml:space="preserve">| Chloride (Cl-) | 50 | P, G | 7 days | In situ determination |</w:t>
      </w:r>
      <w:r>
        <w:t xml:space="preserve"> </w:t>
      </w:r>
      <w:r>
        <w:t xml:space="preserve">| Acidity | 50 | P, G | 7 days | 2ml H2SO4 per litre |</w:t>
      </w:r>
      <w:r>
        <w:t xml:space="preserve"> </w:t>
      </w:r>
      <w:r>
        <w:t xml:space="preserve">| BOD | 1000 | P, G | 6 days | Refrigeration at 4°C |</w:t>
      </w:r>
      <w:r>
        <w:t xml:space="preserve"> </w:t>
      </w:r>
      <w:r>
        <w:t xml:space="preserve">| DO | 300 | G | No holding | In situ determination |</w:t>
      </w:r>
      <w:r>
        <w:t xml:space="preserve"> </w:t>
      </w:r>
      <w:r>
        <w:t xml:space="preserve">| Ammonia | 400 | P, G | 24hrs | Cool at 4°C H2SO4 to pH&lt;2 |</w:t>
      </w:r>
      <w:r>
        <w:t xml:space="preserve"> </w:t>
      </w:r>
      <w:r>
        <w:t xml:space="preserve">| Oil &amp; Grease | 1000 | G | 24hrs | Cool at 4°C H2SO4 to pH&lt;2 |</w:t>
      </w:r>
      <w:r>
        <w:t xml:space="preserve"> </w:t>
      </w:r>
      <w:r>
        <w:t xml:space="preserve">| COD | 100 | P, G | 24hrs | Cool at 4°C H2SO4 to pH&lt;2 |</w:t>
      </w:r>
      <w:r>
        <w:t xml:space="preserve"> </w:t>
      </w:r>
      <w:r>
        <w:t xml:space="preserve">| Heavy metals | 100 | P,G | - | HNO3 to pH&lt;2 |</w:t>
      </w:r>
      <w:r>
        <w:t xml:space="preserve"> </w:t>
      </w:r>
      <w:r>
        <w:t xml:space="preserve">| Calcium | 100 | P,G | 7 days | None required |</w:t>
      </w:r>
      <w:r>
        <w:t xml:space="preserve"> </w:t>
      </w:r>
      <w:r>
        <w:t xml:space="preserve">| Magnesium | 100 | P,G | 6 months | HNO3 to pH&lt;2 |</w:t>
      </w:r>
      <w:r>
        <w:t xml:space="preserve"> </w:t>
      </w:r>
      <w:r>
        <w:rPr>
          <w:i/>
          <w:iCs/>
        </w:rPr>
        <w:t xml:space="preserve">P= Plastic G= Glass</w:t>
      </w:r>
    </w:p>
    <w:p>
      <w:pPr>
        <w:pStyle w:val="BodyText"/>
      </w:pPr>
      <w:r>
        <w:rPr>
          <w:b/>
          <w:bCs/>
        </w:rPr>
        <w:t xml:space="preserve">4.10 Methodology and Determination of Parameters</w:t>
      </w:r>
    </w:p>
    <w:p>
      <w:pPr>
        <w:pStyle w:val="BodyText"/>
      </w:pPr>
      <w:r>
        <w:rPr>
          <w:b/>
          <w:bCs/>
        </w:rPr>
        <w:t xml:space="preserve">Air Quality &amp; Noise</w:t>
      </w:r>
    </w:p>
    <w:p>
      <w:pPr>
        <w:pStyle w:val="BodyText"/>
      </w:pPr>
      <w:r>
        <w:t xml:space="preserve">Air Quality is the measurement of deviation of the ambient air from its natural state due to air pollution (the presence of undesirable material in air, in quantities large enough to produce harmful effects). The undesirable materials may damage human health, vegetation, human property, or the global environment as well as create aesthetic insults in the form of brown or hazy air or unpleasant smells. The assessment of the air quality of the study area was necessary in order to determine the air quality status of the area and investigated the possible contribution of the study environment activities to ambient air quality. The air quality parameters determined were mainly those of public and health concern. The geographic coordinates of the sampling locations are presented in Table 4.12. The parameters measured and respective sampling equipment is shown in Table 4.12.</w:t>
      </w:r>
    </w:p>
    <w:p>
      <w:pPr>
        <w:pStyle w:val="BodyText"/>
      </w:pPr>
      <w:r>
        <w:rPr>
          <w:b/>
          <w:bCs/>
        </w:rPr>
        <w:t xml:space="preserve">Table 4.12: List of Air Quality Equipment Used in the Study</w:t>
      </w:r>
      <w:r>
        <w:t xml:space="preserve"> </w:t>
      </w:r>
      <w:r>
        <w:t xml:space="preserve">| Parameter | Equipment |</w:t>
      </w:r>
      <w:r>
        <w:t xml:space="preserve"> </w:t>
      </w:r>
      <w:r>
        <w:t xml:space="preserve">| :— | :— |</w:t>
      </w:r>
      <w:r>
        <w:t xml:space="preserve"> </w:t>
      </w:r>
      <w:r>
        <w:t xml:space="preserve">| Particulate Matter (PM2.5&amp; PM10) | Aeroqual Series 500. Sensors are housed within an interchangeable</w:t>
      </w:r>
      <w:r>
        <w:t xml:space="preserve"> </w:t>
      </w:r>
      <w:r>
        <w:t xml:space="preserve">‘sensor head’</w:t>
      </w:r>
      <w:r>
        <w:t xml:space="preserve"> </w:t>
      </w:r>
      <w:r>
        <w:t xml:space="preserve">that attaches to the monitor base. Each sensor head contains a single gas or particle sensor. Swapping sensor heads takes seconds, can be done in the field, and no configuration or re-calibration is required. Active sampling is a key design feature. Each sensor head contains a fan that works continuously or periodically (depending on the sensor type) to draw sample air to the sensor. Once sampled the air is exhausted from the opposite side of the sensor head. |</w:t>
      </w:r>
      <w:r>
        <w:t xml:space="preserve"> </w:t>
      </w:r>
      <w:r>
        <w:t xml:space="preserve">| Hydrogen Sulphide (H2S) and VOCs | MultiRAE gas monitor ModelPGM50-5P. MultiRAE Plus Model PGM 50, Confined Space MultiGas. Detector, combines a PID (Photoionization Detector) with the standard four gases of a confined space monitor (O2, LEL, and two toxic gas sensors) in one compact monitor with sampling pump. |</w:t>
      </w:r>
      <w:r>
        <w:t xml:space="preserve"> </w:t>
      </w:r>
      <w:r>
        <w:t xml:space="preserve">| Carbon monoxide (CO) | MultiRAE Model PGM-1150). It is an intrinsically-safe, compact and lightweight single gas detector with various sensors available. The ToxiRAE II features a stainless steel alligator clip which is corrosion-resistant. The monitor can be securely clipped onto a shirt pocket, hardhat, shoulder strap or belt to ensure the detection of NO2 is carried out safely. |</w:t>
      </w:r>
      <w:r>
        <w:t xml:space="preserve"> </w:t>
      </w:r>
      <w:r>
        <w:t xml:space="preserve">| Nitrogen Oxides (NOX) | VRAE Model PGM-1110). |</w:t>
      </w:r>
      <w:r>
        <w:t xml:space="preserve"> </w:t>
      </w:r>
      <w:r>
        <w:t xml:space="preserve">| Sulphur dioxide (SO2) | VRAE Model PGM-1130) |</w:t>
      </w:r>
      <w:r>
        <w:t xml:space="preserve"> </w:t>
      </w:r>
      <w:r>
        <w:t xml:space="preserve">| Noise level | Extech Sound Level Meter |</w:t>
      </w:r>
    </w:p>
    <w:p>
      <w:pPr>
        <w:pStyle w:val="BodyText"/>
      </w:pPr>
      <w:r>
        <w:rPr>
          <w:b/>
          <w:bCs/>
        </w:rPr>
        <w:t xml:space="preserve">Oxides of Nitrogen</w:t>
      </w:r>
    </w:p>
    <w:p>
      <w:pPr>
        <w:pStyle w:val="BodyText"/>
      </w:pPr>
      <w:r>
        <w:t xml:space="preserve">NO2 is the main source of nitrate aerosols, which form an important fraction of PM2.5 and, in the presence of ultraviolet light and ozone. The major sources of anthropogenic emissions of NO2 are combustion processes (heating, power generation, and engines in vehicles, and ships). Epidemiological studies have shown that symptoms of bronchitis in asthmatic children increase in association with long-term exposure to NO2. Reduced lung function growth is also linked to NO2 at concentrations currently measured (or observed) in cities of Europe and North America. NOx concentrations were measured as NO2 using an in-situ single gas NOx monitor (VRAE Model PGM-1110). The monitor is a 9.3cm x 4.9cm x 2.2cm measuring instrument weighing about 0.1 kg with an instantaneous direct readout display through which current NO2 concentrations can be continuously monitored in ppm (parts per million) with a detection range of 0ppm -20ppm and 0.1 ppm resolution. It has facility for Short Term Exposure Limit (STEL) from which the NO2 concentration for the last 15 minutes can be determined; the Time Weighted Average (TWA) from which the accumulated reading of the gas concentration since the monitor was turned on is divided by 8 hours; and the Peak Reading, which is the highest reading since the monitor was turned on. For every field measurement, the</w:t>
      </w:r>
      <w:r>
        <w:t xml:space="preserve"> </w:t>
      </w:r>
      <w:r>
        <w:t xml:space="preserve">“Auto-Zero at Start-up”</w:t>
      </w:r>
      <w:r>
        <w:t xml:space="preserve"> </w:t>
      </w:r>
      <w:r>
        <w:t xml:space="preserve">calibration is required and this was carried out during the study.</w:t>
      </w:r>
    </w:p>
    <w:p>
      <w:pPr>
        <w:pStyle w:val="BodyText"/>
      </w:pPr>
      <w:r>
        <w:rPr>
          <w:b/>
          <w:bCs/>
        </w:rPr>
        <w:t xml:space="preserve">Sulphur Dioxide</w:t>
      </w:r>
    </w:p>
    <w:p>
      <w:pPr>
        <w:pStyle w:val="BodyText"/>
      </w:pPr>
      <w:r>
        <w:t xml:space="preserve">SO2 is a colourless gas with a sharp odour. It is produced from the burning of fossil fuels (coal and oil) and the smelting of mineral ores that contain sulfur. The main anthropogenic source of SO2 is the burning of sulfur-containing fossil fuels for domestic heating, power generation and motor vehicles. SO2 can affect the respiratory system and the functions of the lungs, and causes irritation of the eyes. Inflammation of the respiratory tract causes coughing, mucus secretion, aggravation of asthma and chronic bronchitis and makes people more prone to infections of the respiratory tract. Hospital admissions for cardiac disease and mortality increase on days with higher SO2 levels. When SO2 combines with water, it forms sulfuric acid; this is the main component of acid rain which is a cause of deforestation.</w:t>
      </w:r>
    </w:p>
    <w:p>
      <w:pPr>
        <w:pStyle w:val="BodyText"/>
      </w:pPr>
      <w:r>
        <w:t xml:space="preserve">To measure the SO2 concentrations during the field study, an in-situ single gas SO2 monitor (VRAE Model PGM-1130) was used. The monitor is a 9.3cm x 4.9cm x 2.2cm measuring instrument weighing about 0.1kg with an instantaneous direct readout displays through which current SO2 concentrations can be continuously monitored in ppm (parts per million) with a detection range of 0ppm - 20 ppm and 0.1 ppm resolution. It has facility for Short Term Exposure Limit (STEL) from which the SO2 concentration for the last 15 minutes can be determined; the Time Weighted Average (TWA) from which the accumulated reading of the gas concentration since the monitor was turned on is divided by 8 hours; and the Peak Reading, which is the highest reading since the monitor was turned on. For every field measurement, the</w:t>
      </w:r>
      <w:r>
        <w:t xml:space="preserve"> </w:t>
      </w:r>
      <w:r>
        <w:t xml:space="preserve">“Auto-Zero at Start-up”</w:t>
      </w:r>
      <w:r>
        <w:t xml:space="preserve"> </w:t>
      </w:r>
      <w:r>
        <w:t xml:space="preserve">calibration is required and this was carried out during the study.</w:t>
      </w:r>
    </w:p>
    <w:p>
      <w:pPr>
        <w:pStyle w:val="BodyText"/>
      </w:pPr>
      <w:r>
        <w:rPr>
          <w:b/>
          <w:bCs/>
        </w:rPr>
        <w:t xml:space="preserve">Carbon Monoxide</w:t>
      </w:r>
    </w:p>
    <w:p>
      <w:pPr>
        <w:pStyle w:val="BodyText"/>
      </w:pPr>
      <w:r>
        <w:t xml:space="preserve">Carbon dioxide is a colorless, odorless and tasteless but poisonous gas produced primarily by incomplete combustion of fossil fuels. It constitutes the single largest pollutant in the urban atmosphere due to its emissions from internal combustion engines. Atmospheric levels of carbon monoxide in urban areas show a positive correlation with the density of vehicular traffic, and a negative correlation with wind speed. It has a strong affinity towards the hemoglobin of the bloodstream making it a dangerous asphyxiant. The main sources of CO in the urban air are smoke and exhaust fumes of many devices burning coal, gas or oil. Carbon dioxide enters the blood stream and reacts with the hemoglobin in the blood to form carboxyl-hemoglobin. This reduces oxygen delivery to the body’s organs (like the heart and brain) and tissues, a situation which gives rise to myocardial ischemia and chest pain when exercising or under increased stress. At extremely high levels, CO can cause death. People with heart diseases are particularly sensitive. Exposure to high levels is linked with impairment of vision, work capacity, learning ability and performance of difficult tasks.</w:t>
      </w:r>
    </w:p>
    <w:p>
      <w:pPr>
        <w:pStyle w:val="BodyText"/>
      </w:pPr>
      <w:r>
        <w:t xml:space="preserve">Carbon dioxide measurement was taken using an in-situ non-integrated single gas carbon monoxide monitor (ToxiRAE Model PGM-1150). The monitor is a 9.3cm x 4.9cm x 2.2cm measuring instrument weighing about 0.1 kg with an instantaneous direct readout displays through which current carbon monoxide concentrations can be continuously monitored in ppm (parts per million). It has facility for Short Term Exposure Limit (STEL) from which the carbon monoxide concentration for the last 15 minutes can be determined; the Time Weighted Average (TWA) from which the accumulated reading of the gas concentration since the monitor was turned on is divided by 8 hours; and the Peak Reading, which is the highest reading since the monitor was turned on. It has detection range of 0 - 500ppm with 1ppm resolution.</w:t>
      </w:r>
    </w:p>
    <w:p>
      <w:pPr>
        <w:pStyle w:val="BodyText"/>
      </w:pPr>
      <w:r>
        <w:rPr>
          <w:b/>
          <w:bCs/>
        </w:rPr>
        <w:t xml:space="preserve">Hydrogen Sulphide and Volatile Organic Compounds (VOCs)</w:t>
      </w:r>
    </w:p>
    <w:p>
      <w:pPr>
        <w:pStyle w:val="BodyText"/>
      </w:pPr>
      <w:r>
        <w:t xml:space="preserve">These compounds were measured using an in-situ MultiRAE gas monitor (ModelPGM50-5P). The monitor is a 9.3 cm x 4.9 cm x 2.2 cm measuring instrument weighing about 0.1 kg with an instantaneous direct readout displays through which current VOCs concentrations can be continuously monitored in ppm (parts per million). It has facility for Short Term Exposure Limit (STEL) from which the H2S and VOCs concentrations for the last 15 minutes can be determined; the Time Weighted Average (TWA) from which the accumulated reading of the gas concentration since the monitor was turned on is divided by 8 hours; and the Peak Reading, which is the highest since the monitor was turned on. It has detection range of 0ppm - 200 ppm with 0.1 ppm resolution. However, for every field measurement, the</w:t>
      </w:r>
      <w:r>
        <w:t xml:space="preserve"> </w:t>
      </w:r>
      <w:r>
        <w:t xml:space="preserve">“Auto-Zero at Start-up”</w:t>
      </w:r>
      <w:r>
        <w:t xml:space="preserve"> </w:t>
      </w:r>
      <w:r>
        <w:t xml:space="preserve">calibration is required and this was carried out during the measurement.</w:t>
      </w:r>
    </w:p>
    <w:p>
      <w:pPr>
        <w:pStyle w:val="BodyText"/>
      </w:pPr>
      <w:r>
        <w:rPr>
          <w:b/>
          <w:bCs/>
        </w:rPr>
        <w:t xml:space="preserve">Particulate Matter (PM)</w:t>
      </w:r>
    </w:p>
    <w:p>
      <w:pPr>
        <w:pStyle w:val="BodyText"/>
      </w:pPr>
      <w:r>
        <w:t xml:space="preserve">Particulate Matter is a general term used for a mixture of solid particles and liquid droplets in the air. It includes aerosols, smoke, fumes, dust, ash and pollen. These particulates are categorized according to sizes of the particles in microns such as PM1.0, PM2.5, PM7.0, and PM10. Particles of different sizes in air when inhaled have different health effects on man. PM2.5 and PM10 are considered most important due to their public health risks.</w:t>
      </w:r>
    </w:p>
    <w:p>
      <w:pPr>
        <w:pStyle w:val="Compact"/>
        <w:numPr>
          <w:ilvl w:val="0"/>
          <w:numId w:val="1001"/>
        </w:numPr>
      </w:pPr>
      <w:r>
        <w:rPr>
          <w:b/>
          <w:bCs/>
        </w:rPr>
        <w:t xml:space="preserve">PM2.5</w:t>
      </w:r>
      <w:r>
        <w:t xml:space="preserve">: These are particulate matters which have aerodynamic diameter not exceeding 2.5microns. They are also referred to as fine or respirable particles because of their abilities to penetrate the respiratory system further than larger particles. Their sources are primarily from fossil fuel combustion, vegetation burning and smelting/processing of metals. The life span when released into the atmosphere ranges from days to weeks. Owing to the health effects of this pollutant, the World Health Organization (WHO) set standards of 25ug/m3 and 10µg/m3 for short- and long-term exposures respectively.</w:t>
      </w:r>
    </w:p>
    <w:p>
      <w:pPr>
        <w:pStyle w:val="Compact"/>
        <w:numPr>
          <w:ilvl w:val="0"/>
          <w:numId w:val="1001"/>
        </w:numPr>
      </w:pPr>
      <w:r>
        <w:rPr>
          <w:b/>
          <w:bCs/>
        </w:rPr>
        <w:t xml:space="preserve">PM10</w:t>
      </w:r>
      <w:r>
        <w:t xml:space="preserve">: These are particles of sizes not exceeding the 10um in diameter (about one-seventh the diameter of a human hair). They are primarily produced during construction activities, demolition, quarry activities, roadside dust suspension and wind. These particulates, when inhaled, attach to small hairs (Cellia) in the nostrils tract and are subsequently released upon clearing of throat.</w:t>
      </w:r>
    </w:p>
    <w:p>
      <w:pPr>
        <w:pStyle w:val="FirstParagraph"/>
      </w:pPr>
      <w:r>
        <w:rPr>
          <w:b/>
          <w:bCs/>
        </w:rPr>
        <w:t xml:space="preserve">Effects of PM2.5 and PM10</w:t>
      </w:r>
    </w:p>
    <w:p>
      <w:pPr>
        <w:pStyle w:val="BodyText"/>
      </w:pPr>
      <w:r>
        <w:t xml:space="preserve">Fine particles, especially those smaller than 10 microns in diameter (PM10), when inhaled into human lungs, can cause premature death, respiratory diseases such as asthma. These health effects can lead to increase in hospital bills, use of medications, days off school, and loss of man hour. Also, fine particulates have some environmental effects such as visibility impairment, acidification of lakes and streams, change in soil nutrients, destruction of sensitive forests and farm crops etc. The size of particles is directly linked to their potential for causing health problems. Small particles less than 10 micrometers in diameter pose the greatest problems, because they can get deep into lungs, and some may even get into bloodstream. Exposure to such particles can affect both the lungs and the heart. Numerous scientific studies have linked particle pollution exposure to a variety of problems, including:</w:t>
      </w:r>
      <w:r>
        <w:t xml:space="preserve"> </w:t>
      </w:r>
      <w:r>
        <w:t xml:space="preserve">* Premature death in people with heart or lung diseases</w:t>
      </w:r>
      <w:r>
        <w:t xml:space="preserve"> </w:t>
      </w:r>
      <w:r>
        <w:t xml:space="preserve">* Nonfatal heart attacks</w:t>
      </w:r>
      <w:r>
        <w:t xml:space="preserve"> </w:t>
      </w:r>
      <w:r>
        <w:t xml:space="preserve">* Irregular heartbeat</w:t>
      </w:r>
      <w:r>
        <w:t xml:space="preserve"> </w:t>
      </w:r>
      <w:r>
        <w:t xml:space="preserve">* Aggravated asthma</w:t>
      </w:r>
      <w:r>
        <w:t xml:space="preserve"> </w:t>
      </w:r>
      <w:r>
        <w:t xml:space="preserve">* Decreased lung function</w:t>
      </w:r>
      <w:r>
        <w:t xml:space="preserve"> </w:t>
      </w:r>
      <w:r>
        <w:t xml:space="preserve">* Increased respiratory symptoms, such as irritation of the airways, coughing or difficulty breathing.</w:t>
      </w:r>
    </w:p>
    <w:p>
      <w:pPr>
        <w:pStyle w:val="BodyText"/>
      </w:pPr>
      <w:r>
        <w:t xml:space="preserve">People with heart or lung diseases, children, and older adults are the most likely to be affected by particle pollution exposure.</w:t>
      </w:r>
    </w:p>
    <w:p>
      <w:pPr>
        <w:pStyle w:val="BodyText"/>
      </w:pPr>
      <w:r>
        <w:t xml:space="preserve">To measure the Particulate Matter, the Sensors are housed within an interchangeable</w:t>
      </w:r>
      <w:r>
        <w:t xml:space="preserve"> </w:t>
      </w:r>
      <w:r>
        <w:t xml:space="preserve">‘sensor head’</w:t>
      </w:r>
      <w:r>
        <w:t xml:space="preserve"> </w:t>
      </w:r>
      <w:r>
        <w:t xml:space="preserve">that attaches to the monitor base. Each sensor head contains a single gas or particle sensor. Each sensor head contains a fan that works continuously or periodically (depending on the sensor type) to draw sample air to the sensor. Once sampled, the air is exhausted from the opposite side of the sensor head.</w:t>
      </w:r>
    </w:p>
    <w:p>
      <w:pPr>
        <w:pStyle w:val="BodyText"/>
      </w:pPr>
      <w:r>
        <w:rPr>
          <w:b/>
          <w:bCs/>
        </w:rPr>
        <w:t xml:space="preserve">Ozone</w:t>
      </w:r>
    </w:p>
    <w:p>
      <w:pPr>
        <w:pStyle w:val="BodyText"/>
      </w:pPr>
      <w:r>
        <w:t xml:space="preserve">Ozone is a colorless, odorless gas at ambient concentrations and is a major component of smog. Ozone can be good or bad depending on where it occurs:</w:t>
      </w:r>
      <w:r>
        <w:t xml:space="preserve"> </w:t>
      </w:r>
      <w:r>
        <w:t xml:space="preserve">* Ozone occurs naturally in the Earth’s upper atmosphere (the stratosphere), where it shields the Earth from the sun’s ultraviolet rays.</w:t>
      </w:r>
      <w:r>
        <w:t xml:space="preserve"> </w:t>
      </w:r>
      <w:r>
        <w:t xml:space="preserve">* At ground-level, ozone is an air pollutant that can harm human health.</w:t>
      </w:r>
    </w:p>
    <w:p>
      <w:pPr>
        <w:pStyle w:val="BodyText"/>
      </w:pPr>
      <w:r>
        <w:t xml:space="preserve">Ground-level ozone is not emitted directly into the atmosphere. It results from photochemical reactions between oxides of nitrogen (NOx) and Volatile Organic Compound (VOC) in the presence of sunlight. Studies have shown that high Ozone levels typically occur from May to September between noon and early evening. The reactions can be represented by the chemical equation:</w:t>
      </w:r>
      <w:r>
        <w:t xml:space="preserve"> </w:t>
      </w:r>
      <w:r>
        <w:t xml:space="preserve">NO2 + hv -&gt; NO + O</w:t>
      </w:r>
      <w:r>
        <w:t xml:space="preserve"> </w:t>
      </w:r>
      <w:r>
        <w:t xml:space="preserve">O + O2 -&gt; O3</w:t>
      </w:r>
    </w:p>
    <w:p>
      <w:pPr>
        <w:pStyle w:val="BodyText"/>
      </w:pPr>
      <w:r>
        <w:t xml:space="preserve">They are also found in emissions from:</w:t>
      </w:r>
      <w:r>
        <w:t xml:space="preserve"> </w:t>
      </w:r>
      <w:r>
        <w:t xml:space="preserve">* Vehicles such as automobiles, trucks, buses, aircraft, and locomotives</w:t>
      </w:r>
      <w:r>
        <w:t xml:space="preserve"> </w:t>
      </w:r>
      <w:r>
        <w:t xml:space="preserve">* Construction equipment</w:t>
      </w:r>
      <w:r>
        <w:t xml:space="preserve"> </w:t>
      </w:r>
      <w:r>
        <w:t xml:space="preserve">* Lawn and garden equipment</w:t>
      </w:r>
      <w:r>
        <w:t xml:space="preserve"> </w:t>
      </w:r>
      <w:r>
        <w:t xml:space="preserve">* Sources that combust fuel, such as large industries and utilities</w:t>
      </w:r>
      <w:r>
        <w:t xml:space="preserve"> </w:t>
      </w:r>
      <w:r>
        <w:t xml:space="preserve">* Small industries such as gas stations and print shops</w:t>
      </w:r>
      <w:r>
        <w:t xml:space="preserve"> </w:t>
      </w:r>
      <w:r>
        <w:t xml:space="preserve">* Consumer products, including some paints and cleaners.</w:t>
      </w:r>
    </w:p>
    <w:p>
      <w:pPr>
        <w:pStyle w:val="BodyText"/>
      </w:pPr>
      <w:r>
        <w:rPr>
          <w:b/>
          <w:bCs/>
        </w:rPr>
        <w:t xml:space="preserve">Effects of Ozone.</w:t>
      </w:r>
    </w:p>
    <w:p>
      <w:pPr>
        <w:pStyle w:val="BodyText"/>
      </w:pPr>
      <w:r>
        <w:t xml:space="preserve">Ozone irritates the respiratory tract and eyes. Exposure to high levels of O3 results in chest tightness, coughing and wheezing. It makes the lung more susceptible to infection and aggravates lung diseases such as asthma, emphysema and chronic bronchitis thus making people with respiratory and heart problems at a higher risk. Ozone has been linked to increased hospital admissions and premature death. The recommended standards by the World Health Organization for the criteria pollutants are indicated in table 4.13.</w:t>
      </w:r>
    </w:p>
    <w:p>
      <w:pPr>
        <w:pStyle w:val="BodyText"/>
      </w:pPr>
      <w:r>
        <w:rPr>
          <w:b/>
          <w:bCs/>
        </w:rPr>
        <w:t xml:space="preserve">Table 4.13: WHO Standards for Criteria Pollutants</w:t>
      </w:r>
      <w:r>
        <w:t xml:space="preserve"> </w:t>
      </w:r>
      <w:r>
        <w:t xml:space="preserve">| POLLUTANTS | WHO STANDARDS |</w:t>
      </w:r>
      <w:r>
        <w:t xml:space="preserve"> </w:t>
      </w:r>
      <w:r>
        <w:t xml:space="preserve">| :— | :— |</w:t>
      </w:r>
      <w:r>
        <w:t xml:space="preserve"> </w:t>
      </w:r>
      <w:r>
        <w:t xml:space="preserve">| PM 2.5 | 0.025mg/m3 |</w:t>
      </w:r>
      <w:r>
        <w:t xml:space="preserve"> </w:t>
      </w:r>
      <w:r>
        <w:t xml:space="preserve">| PM 10 | 0.05mg/m3 |</w:t>
      </w:r>
      <w:r>
        <w:t xml:space="preserve"> </w:t>
      </w:r>
      <w:r>
        <w:t xml:space="preserve">| CO | 10ppm |</w:t>
      </w:r>
      <w:r>
        <w:t xml:space="preserve"> </w:t>
      </w:r>
      <w:r>
        <w:t xml:space="preserve">| NO2 | 0.2ppm |</w:t>
      </w:r>
      <w:r>
        <w:t xml:space="preserve"> </w:t>
      </w:r>
      <w:r>
        <w:t xml:space="preserve">| SO2 | 0.35ppm |</w:t>
      </w:r>
      <w:r>
        <w:t xml:space="preserve"> </w:t>
      </w:r>
      <w:r>
        <w:t xml:space="preserve">| O3 | 0.15ppm |</w:t>
      </w:r>
    </w:p>
    <w:p>
      <w:pPr>
        <w:pStyle w:val="BodyText"/>
      </w:pPr>
      <w:r>
        <w:rPr>
          <w:b/>
          <w:bCs/>
        </w:rPr>
        <w:t xml:space="preserve">Noise Level</w:t>
      </w:r>
    </w:p>
    <w:p>
      <w:pPr>
        <w:pStyle w:val="BodyText"/>
      </w:pPr>
      <w:r>
        <w:t xml:space="preserve">Noise measurements were taken with a digital, battery-powered, Sound Pressure Level Meter (EXTEC Instruments, US Model 407735). The meter has both A and C weighting and 0.1 dB resolution with fast/slow responses. Its high- and low-metering ranges were 35dB - 100dB and 65dB-130dB, respectively. The meter is also equipped with a build-in calibration check (94dBA), tripod mount, and analog DC/AC conditioned outputs of 10mV/dB and utilized a 0.49” (-12.3mm) condenser microphone. To measure the noise levels at any of the sampling locations, the sound level meter was placed at a distance of 1m from the source of sound and at about 1.2m to 1.5 m above ground level. Measurements were taken by setting the sound level meter to the</w:t>
      </w:r>
      <w:r>
        <w:t xml:space="preserve"> </w:t>
      </w:r>
      <w:r>
        <w:t xml:space="preserve">“A”</w:t>
      </w:r>
      <w:r>
        <w:t xml:space="preserve"> </w:t>
      </w:r>
      <w:r>
        <w:t xml:space="preserve">weighting network.</w:t>
      </w:r>
    </w:p>
    <w:p>
      <w:pPr>
        <w:pStyle w:val="BodyText"/>
      </w:pPr>
      <w:r>
        <w:rPr>
          <w:b/>
          <w:bCs/>
        </w:rPr>
        <w:t xml:space="preserve">Surface Water Quality</w:t>
      </w:r>
    </w:p>
    <w:p>
      <w:pPr>
        <w:pStyle w:val="BodyText"/>
      </w:pPr>
      <w:r>
        <w:t xml:space="preserve">The project site is located along the Lagos lagoon waterfront at Ebute in Ikorodu area of Lagos State. The baseline characteristics of the water body was recorded and analyzed. Such information is necessary as basis for understanding the characteristics of the existing environment and as benchmark for the subsequent evaluation of impacts of the proposed project.</w:t>
      </w:r>
    </w:p>
    <w:p>
      <w:pPr>
        <w:pStyle w:val="BodyText"/>
      </w:pPr>
      <w:r>
        <w:t xml:space="preserve">The geographical coordinates of the sample collection points are provided in Table 4.1. Data on temperature and pH were obtained from the field using mercury-in-glass thermometer and pH meter. Salinity, dissolved oxygen and carbon dioxide, total alkalinity and acidity, total suspended and dissolved solids were determined in the laboratory by titrimetric method. The concentrations of Fe, Zn, Mn, Cd, Cr and Pb in water were determined by Atomic Absorption Spectrophotometer (AAS). Phytoplankton and zooplankton samples were collected and preserved in 5% formalin solution. The details of methodology used for the determination of the water quality parameter is provided in Table 4.14.</w:t>
      </w:r>
    </w:p>
    <w:p>
      <w:pPr>
        <w:pStyle w:val="BodyText"/>
      </w:pPr>
      <w:r>
        <w:rPr>
          <w:b/>
          <w:bCs/>
        </w:rPr>
        <w:t xml:space="preserve">Table 4.14: List of methods used for water analysis</w:t>
      </w:r>
      <w:r>
        <w:t xml:space="preserve"> </w:t>
      </w:r>
      <w:r>
        <w:t xml:space="preserve">| Parameters | Methodology | Highlight of Determination | Unit | Reference |</w:t>
      </w:r>
      <w:r>
        <w:t xml:space="preserve"> </w:t>
      </w:r>
      <w:r>
        <w:t xml:space="preserve">| :— | :— | :— | :— | :— |</w:t>
      </w:r>
      <w:r>
        <w:t xml:space="preserve"> </w:t>
      </w:r>
      <w:r>
        <w:t xml:space="preserve">| Turbidity | Nephelometric | Turbidity meter | NTU | BDH(1978) |</w:t>
      </w:r>
      <w:r>
        <w:t xml:space="preserve"> </w:t>
      </w:r>
      <w:r>
        <w:t xml:space="preserve">| Colour | Colorimetric | Platinum cobalt standard | Pt.Co | BDH(1973) |</w:t>
      </w:r>
      <w:r>
        <w:t xml:space="preserve"> </w:t>
      </w:r>
      <w:r>
        <w:t xml:space="preserve">| Total Residue/Solids (TDS) | Gravimetric | Drying to constant weight | mgl-1 | USEPA1979 |</w:t>
      </w:r>
      <w:r>
        <w:t xml:space="preserve"> </w:t>
      </w:r>
      <w:r>
        <w:t xml:space="preserve">| Total Alkalinity | Titrimetric | Acid-base titration (N/50 H2SO4 + Mix Indicator) | mgCaCO3l-1 | Golterman et al., (1978) |</w:t>
      </w:r>
      <w:r>
        <w:t xml:space="preserve"> </w:t>
      </w:r>
      <w:r>
        <w:t xml:space="preserve">| Total Acidity | Titrimetric | Acid base titration (base titrant phenolphthalein indicator) | mgCaCO3l-1 | Golterman et al., (1978) |</w:t>
      </w:r>
      <w:r>
        <w:t xml:space="preserve"> </w:t>
      </w:r>
      <w:r>
        <w:t xml:space="preserve">| Total Hardness | Titrimetric | Complexometric (Na2EDTA) | mgCaCO3l-1 | Mackereth et al., (1987) |</w:t>
      </w:r>
      <w:r>
        <w:t xml:space="preserve"> </w:t>
      </w:r>
      <w:r>
        <w:t xml:space="preserve">| Chloride (CI-) | Titrimetric | Mohr titration | mgl-1 | Golterman et al., (1978) |</w:t>
      </w:r>
      <w:r>
        <w:t xml:space="preserve"> </w:t>
      </w:r>
      <w:r>
        <w:t xml:space="preserve">| Sulphate | Titrimetric | Colorimetric (Barium Chloride) | mgl-1 | Golterman et al., (1978) |</w:t>
      </w:r>
      <w:r>
        <w:t xml:space="preserve"> </w:t>
      </w:r>
      <w:r>
        <w:t xml:space="preserve">| Calcium &amp; Magnesium | Titrimetric | Complexometric (Na2EDTA) | mgl-1 | Golterman et al., (1978) |</w:t>
      </w:r>
      <w:r>
        <w:t xml:space="preserve"> </w:t>
      </w:r>
      <w:r>
        <w:t xml:space="preserve">| Total Organic Carbon / COD | Titrimetric | Wet digestion (Chromic acid oxidation) | mgl-1 | Golterman et al., (1978) |</w:t>
      </w:r>
      <w:r>
        <w:t xml:space="preserve"> </w:t>
      </w:r>
      <w:r>
        <w:t xml:space="preserve">| DO/BOD5 | Titrimetric | lodimetric (Winkler’s titration) | mgl-1 | Golterman et al., (1978) |</w:t>
      </w:r>
      <w:r>
        <w:t xml:space="preserve"> </w:t>
      </w:r>
      <w:r>
        <w:t xml:space="preserve">| Sodium &amp; Potassium | AES | Flame Analyzer | mgl-1 | APHA(1992) |</w:t>
      </w:r>
      <w:r>
        <w:t xml:space="preserve"> </w:t>
      </w:r>
      <w:r>
        <w:t xml:space="preserve">| Total Heavy metals | Atomic Absorption | AA Spectrophotometer | mgl-1 | APHA(1992) |</w:t>
      </w:r>
    </w:p>
    <w:p>
      <w:pPr>
        <w:pStyle w:val="BodyText"/>
      </w:pPr>
      <w:r>
        <w:rPr>
          <w:b/>
          <w:bCs/>
        </w:rPr>
        <w:t xml:space="preserve">Electrical Conductivity</w:t>
      </w:r>
    </w:p>
    <w:p>
      <w:pPr>
        <w:pStyle w:val="BodyText"/>
      </w:pPr>
      <w:r>
        <w:t xml:space="preserve">The electrical conductivity and pH of the water samples were determined with aid of Hanna meter (7020). The calibration of the equipment was first carried out using potassium chloride solution after which the probe of conductivity meter was inserted into sub-samples of the water to measure the pH and Electrical conductivity directly.</w:t>
      </w:r>
    </w:p>
    <w:p>
      <w:pPr>
        <w:pStyle w:val="BodyText"/>
      </w:pPr>
      <w:r>
        <w:rPr>
          <w:b/>
          <w:bCs/>
        </w:rPr>
        <w:t xml:space="preserve">Turbidity</w:t>
      </w:r>
    </w:p>
    <w:p>
      <w:pPr>
        <w:pStyle w:val="BodyText"/>
      </w:pPr>
      <w:r>
        <w:t xml:space="preserve">The turbidity of the water samples was determined using spectrophotometry method. The raw samples were poured into spectrophotometer’s cuvette and the reading taken using appropriate wavelength. A blank reading of freshly prepared distilled water was used to calibrate the spectrophotometer. The turbidity was thereafter read off from the screen of spectrophotometer.</w:t>
      </w:r>
    </w:p>
    <w:p>
      <w:pPr>
        <w:pStyle w:val="BodyText"/>
      </w:pPr>
      <w:r>
        <w:rPr>
          <w:b/>
          <w:bCs/>
        </w:rPr>
        <w:t xml:space="preserve">Dissolved Oxygen</w:t>
      </w:r>
    </w:p>
    <w:p>
      <w:pPr>
        <w:pStyle w:val="BodyText"/>
      </w:pPr>
      <w:r>
        <w:t xml:space="preserve">The Dissolved Oxygen of water samples was determined in-situ using a Jenway hand-held DO meter. The DO meter consists of</w:t>
      </w:r>
      <w:r>
        <w:t xml:space="preserve"> </w:t>
      </w:r>
      <w:r>
        <w:t xml:space="preserve">“Clarke”</w:t>
      </w:r>
      <w:r>
        <w:t xml:space="preserve"> </w:t>
      </w:r>
      <w:r>
        <w:t xml:space="preserve">type polarographic oxygen electrode and oxygen meter. The reading displayed by the meter was recorded when the probe was dipped into the sample.</w:t>
      </w:r>
    </w:p>
    <w:p>
      <w:pPr>
        <w:pStyle w:val="BodyText"/>
      </w:pPr>
      <w:r>
        <w:rPr>
          <w:b/>
          <w:bCs/>
        </w:rPr>
        <w:t xml:space="preserve">Sediment Analysis</w:t>
      </w:r>
    </w:p>
    <w:p>
      <w:pPr>
        <w:pStyle w:val="BodyText"/>
      </w:pPr>
      <w:r>
        <w:t xml:space="preserve">Sediment samples were collected from the bed of the Lagoon for analysis. The samples were collected with the aid of grab sampler. The samples from each station was separately placed in a polythene bags and an aluminum foil and placed in an ice chest. The samples were air dried at room temperature in the laboratory and after which they were homogenized and passed through a 2mm mesh size sieve. Physiochemical and metal analysis of the samples were carried using the appropriate standard analytical method.</w:t>
      </w:r>
    </w:p>
    <w:p>
      <w:pPr>
        <w:pStyle w:val="BodyText"/>
      </w:pPr>
      <w:r>
        <w:rPr>
          <w:b/>
          <w:bCs/>
        </w:rPr>
        <w:t xml:space="preserve">Ground Water Quality Assessment</w:t>
      </w:r>
    </w:p>
    <w:p>
      <w:pPr>
        <w:pStyle w:val="BodyText"/>
      </w:pPr>
      <w:r>
        <w:t xml:space="preserve">Groundwater samples were collected from three (3) existing borehole and wells within and around the project site. The sampling locations are as shown in Table 4.1. Water samples were collected in 2-liter plastic bottles and stored at a temperature of - 4°C. Sample to be analyzed for total hydrocarbon (THC) was stored in glass sample bottles at -4°C to prevent contamination. Samples for heavy and trace metal analysis were kept in glass bottles and fixed with conc. HNO3 at pH of &lt;2. The water samples were analyzed for physiochemical and biological characterization of groundwater in the area. For each of the water sample collected, the following parameters were determined in-situ: pH, Temperature, Electrical Conductivity, Salinity, Turbidity, and Dissolved Oxygen using Horiba U20 portable digital hyrolab and titrimetric methods.</w:t>
      </w:r>
    </w:p>
    <w:p>
      <w:pPr>
        <w:pStyle w:val="BodyText"/>
      </w:pPr>
      <w:r>
        <w:rPr>
          <w:b/>
          <w:bCs/>
        </w:rPr>
        <w:t xml:space="preserve">Soil Studies</w:t>
      </w:r>
    </w:p>
    <w:p>
      <w:pPr>
        <w:pStyle w:val="BodyText"/>
      </w:pPr>
      <w:r>
        <w:t xml:space="preserve">Soils are complex mixtures of minerals, organic compounds and living organisms that interact continuously in response to natural and imposed biological, chemical, and physical forces. Some of the important functions of soils within ecosystems include: sustaining biological activity and productivity; regulating and partitioning water and solute flow; filtering, buffering, degrading, immobilizing, and detoxifying organic and inorganic materials, including industrial and municipal byproducts and atmospheric depositions; storing and cycling nutrients and other elements within the earth’s biosphere; providing support for socio-economic structures and protection for archaeological treasures associated with human habitation. By and large, soil is an important component of the ecosystem and serves as the sink for all atmospheric fallouts or depositions (either wet or dry) to the earth’s surface, and in the process. Soil within the project site and its immediate environs (150m radius on the site) is composed mainly of alluvial deposit. It is envisaged that the proposed hotel development will not have serious impact on the soil within the project site except in a designated area earmarked for the building during construction activities. Soil samples were collected at the designated stations using a soil auger.</w:t>
      </w:r>
    </w:p>
    <w:p>
      <w:pPr>
        <w:pStyle w:val="BodyText"/>
      </w:pPr>
      <w:r>
        <w:rPr>
          <w:b/>
          <w:bCs/>
        </w:rPr>
        <w:t xml:space="preserve">Soil quality assessment</w:t>
      </w:r>
      <w:r>
        <w:t xml:space="preserve"> </w:t>
      </w:r>
      <w:r>
        <w:t xml:space="preserve">is important for the sustenance of the quality of the environment to ensure that activities to be undertaken in the implementation of the proposed project are carried out in a such a way as to minimize the potential impact on the soil. Critical soil properties whose baseline usually form the basis for impact evaluation includes: physical and chemical properties, fertility indices (such as presence/absence of nutrients and essential elements) and microbial population.</w:t>
      </w:r>
    </w:p>
    <w:p>
      <w:pPr>
        <w:pStyle w:val="BodyText"/>
      </w:pPr>
      <w:r>
        <w:rPr>
          <w:b/>
          <w:bCs/>
        </w:rPr>
        <w:t xml:space="preserve">Soils Sampling and Analysis</w:t>
      </w:r>
    </w:p>
    <w:p>
      <w:pPr>
        <w:pStyle w:val="BodyText"/>
      </w:pPr>
      <w:r>
        <w:t xml:space="preserve">Soil samples were obtained at depths of 0cm - 15cm (Top soil) and at 15cm - 30 cm (Sub Soil) at designated sampling points as provided in Table 4.1. Each soil sample was placed in a Ziploc ® bag and labeled appropriately. The samples for physico-chemical and metal analyses were air dried, homogenized and made to pass through a 2mm mesh sieve. The physico-chemical analyses of the soil samples were carried out using standard methods for soil analysis. The samples collected were subjected to detailed physico-chemical and microbial analyses. The methods used for the physico-chemical analyses are listed in Table 4.15 (renumbered from 4.16 in original).</w:t>
      </w:r>
    </w:p>
    <w:p>
      <w:pPr>
        <w:pStyle w:val="BodyText"/>
      </w:pPr>
      <w:r>
        <w:rPr>
          <w:b/>
          <w:bCs/>
        </w:rPr>
        <w:t xml:space="preserve">Table 4.15: List of Method for Soil Determination</w:t>
      </w:r>
      <w:r>
        <w:t xml:space="preserve"> </w:t>
      </w:r>
      <w:r>
        <w:t xml:space="preserve">| S/N | Parameter | Method |</w:t>
      </w:r>
      <w:r>
        <w:t xml:space="preserve"> </w:t>
      </w:r>
      <w:r>
        <w:t xml:space="preserve">| :– | :— | :— |</w:t>
      </w:r>
      <w:r>
        <w:t xml:space="preserve"> </w:t>
      </w:r>
      <w:r>
        <w:t xml:space="preserve">| 1. | Particle grain size | Bouycous Hydrometer |</w:t>
      </w:r>
      <w:r>
        <w:t xml:space="preserve"> </w:t>
      </w:r>
      <w:r>
        <w:t xml:space="preserve">| 2. | Organic content | Walkley-Black |</w:t>
      </w:r>
      <w:r>
        <w:t xml:space="preserve"> </w:t>
      </w:r>
      <w:r>
        <w:t xml:space="preserve">| 3. | Total Nitrogen | Kjeldahl |</w:t>
      </w:r>
      <w:r>
        <w:t xml:space="preserve"> </w:t>
      </w:r>
      <w:r>
        <w:t xml:space="preserve">| 4. | Available phosphorous | Brayl No. 1 |</w:t>
      </w:r>
      <w:r>
        <w:t xml:space="preserve"> </w:t>
      </w:r>
      <w:r>
        <w:t xml:space="preserve">| 5. | Exchangeable cations | Atomic Absorption Spectrophotometry |</w:t>
      </w:r>
      <w:r>
        <w:t xml:space="preserve"> </w:t>
      </w:r>
      <w:r>
        <w:t xml:space="preserve">| 6. | Heavy Metals | Atomic Absorption Spectrophotometry |</w:t>
      </w:r>
      <w:r>
        <w:t xml:space="preserve"> </w:t>
      </w:r>
      <w:r>
        <w:t xml:space="preserve">| 7. | pH and Electrical Conductivity | Digital glass electrode |</w:t>
      </w:r>
    </w:p>
    <w:p>
      <w:pPr>
        <w:pStyle w:val="BodyText"/>
      </w:pPr>
      <w:r>
        <w:rPr>
          <w:b/>
          <w:bCs/>
        </w:rPr>
        <w:t xml:space="preserve">Soil Physical Properties</w:t>
      </w:r>
    </w:p>
    <w:p>
      <w:pPr>
        <w:pStyle w:val="BodyText"/>
      </w:pPr>
      <w:r>
        <w:rPr>
          <w:b/>
          <w:bCs/>
        </w:rPr>
        <w:t xml:space="preserve">Particle Size Analysis:</w:t>
      </w:r>
    </w:p>
    <w:p>
      <w:pPr>
        <w:pStyle w:val="BodyText"/>
      </w:pPr>
      <w:r>
        <w:t xml:space="preserve">Soil texture is an important soil characteristic that influence water infiltration rates, consistence, soil aeration and root penetration. The textural class of a soil is determined by the presence of sand, silt and clay. Soil samples were collected around the proposed sand filling area. Samples were collected with the aid of a soil auger at 0-15cm to represent the surface conditions and 15-50cm to represent the sub-surface conditions.</w:t>
      </w:r>
    </w:p>
    <w:p>
      <w:pPr>
        <w:pStyle w:val="BodyText"/>
      </w:pPr>
      <w:r>
        <w:t xml:space="preserve">Soil samples to be analyzed for physic-chemical characteristics were collected and packaged in a polythene bags while those for total hydrocarbon were packaged in aluminum foil-made parcels. All samples were properly labelled, packaged and conveyed to laboratory for analyses. To obtain a complete separation of the soil sample into discrete particles and to facilitate the destruction of organic matter, 30% sodium hexametaphosphate solution was added as a dispersing agent. Homogeneity of the particles was a Standard Bouycous hydrometer at 40 seconds and 8 hours. The later gave the concentration of clay, while the former yielded the combine concentration of both clay and silt (I.I.T.A Laboratory Manual, 1999).</w:t>
      </w:r>
    </w:p>
    <w:p>
      <w:pPr>
        <w:pStyle w:val="BodyText"/>
      </w:pPr>
      <w:r>
        <w:rPr>
          <w:b/>
          <w:bCs/>
        </w:rPr>
        <w:t xml:space="preserve">Soil Chemical Properties</w:t>
      </w:r>
    </w:p>
    <w:p>
      <w:pPr>
        <w:pStyle w:val="BodyText"/>
      </w:pPr>
      <w:r>
        <w:t xml:space="preserve">Prior to the commencement of the laboratory analysis of the chemical properties, the soil samples were air-dried, sieved through a 2mm mesh and stored for use.</w:t>
      </w:r>
    </w:p>
    <w:p>
      <w:pPr>
        <w:pStyle w:val="Compact"/>
        <w:numPr>
          <w:ilvl w:val="0"/>
          <w:numId w:val="1002"/>
        </w:numPr>
      </w:pPr>
      <w:r>
        <w:rPr>
          <w:b/>
          <w:bCs/>
        </w:rPr>
        <w:t xml:space="preserve">Organic Carbon</w:t>
      </w:r>
      <w:r>
        <w:t xml:space="preserve">: The Organic Carbon content was determined by titrimetric method using a mixture of the sample and acidified potassium - dichromate, ferrous ammonium sulphate was used as titrant with phenanthroline as indicator. Calculation of percentage (%) organic matter was obtained by multiplying the percentage (%) carbon by 1.724 (Jan Bammelen factor) based on the assumption that soil organic matter contains approximately 58% carbon.</w:t>
      </w:r>
    </w:p>
    <w:p>
      <w:pPr>
        <w:pStyle w:val="Compact"/>
        <w:numPr>
          <w:ilvl w:val="0"/>
          <w:numId w:val="1002"/>
        </w:numPr>
      </w:pPr>
      <w:r>
        <w:rPr>
          <w:b/>
          <w:bCs/>
        </w:rPr>
        <w:t xml:space="preserve">Exchangeable Cations (Ca2+, K+, Mg2+, Na+)</w:t>
      </w:r>
      <w:r>
        <w:t xml:space="preserve">: Exchangeable cations were extracted from the soil using 1N neutral ammonium acetate solution. Concentrations of the cations were determined using an Atomic Absorption Spectrophotometer (Varian Spectra AA-400 plus).</w:t>
      </w:r>
    </w:p>
    <w:p>
      <w:pPr>
        <w:pStyle w:val="Compact"/>
        <w:numPr>
          <w:ilvl w:val="0"/>
          <w:numId w:val="1002"/>
        </w:numPr>
      </w:pPr>
      <w:r>
        <w:rPr>
          <w:b/>
          <w:bCs/>
        </w:rPr>
        <w:t xml:space="preserve">Anions (NO3-, SO42-, CI-)</w:t>
      </w:r>
      <w:r>
        <w:t xml:space="preserve">: 20g of soil sample was added to 100ml of potassium Chloride solution and the resulting mixture was shaken for about 1hour to extract the anions content. The resulting extracts were injected into a High-Performance Liquid Chromatograph (HPLC) for the determination of the anions concentrations.</w:t>
      </w:r>
    </w:p>
    <w:p>
      <w:pPr>
        <w:pStyle w:val="Compact"/>
        <w:numPr>
          <w:ilvl w:val="0"/>
          <w:numId w:val="1002"/>
        </w:numPr>
      </w:pPr>
      <w:r>
        <w:rPr>
          <w:b/>
          <w:bCs/>
        </w:rPr>
        <w:t xml:space="preserve">Soil pH</w:t>
      </w:r>
      <w:r>
        <w:t xml:space="preserve">: Soil and De-ionized water in ratio 2:1 suspension was prepared and direct measurement of the pH was carried out using a glass electrode pH meter.</w:t>
      </w:r>
    </w:p>
    <w:p>
      <w:pPr>
        <w:pStyle w:val="Compact"/>
        <w:numPr>
          <w:ilvl w:val="0"/>
          <w:numId w:val="1002"/>
        </w:numPr>
      </w:pPr>
      <w:r>
        <w:rPr>
          <w:b/>
          <w:bCs/>
        </w:rPr>
        <w:t xml:space="preserve">Electrical Conductivity</w:t>
      </w:r>
      <w:r>
        <w:t xml:space="preserve">: A mixture of soil and water in ratio 2:1 was prepared from each soil sample and the electrical conductivity of the mixture was determined using an electronic conductivity meter (Model 7020).</w:t>
      </w:r>
    </w:p>
    <w:p>
      <w:pPr>
        <w:pStyle w:val="Compact"/>
        <w:numPr>
          <w:ilvl w:val="0"/>
          <w:numId w:val="1002"/>
        </w:numPr>
      </w:pPr>
      <w:r>
        <w:rPr>
          <w:b/>
          <w:bCs/>
        </w:rPr>
        <w:t xml:space="preserve">Heavy Metals</w:t>
      </w:r>
      <w:r>
        <w:t xml:space="preserve">: Extractable heavy metals in each soil sample were extracted using 0.1 N hydrochloric acid. The concentrations of the metals in the solution were measured using an Atomic Absorption spectrophotometer (Varian spectra AA-400 plus). Microorganism identification was carried out by the conventional process. Staining using the Gram’s staining technique to differentiate gram-positive microorganisms from gram-negative microorganism was carried out. The pure bacterial cultures were subjected to various biochemical tests, which included oxidase, catalase, motility, nitrate reduction, urease production, gelatin liquefaction, arginine hydrolysis, sugar fermentation and acid production. Individual bacteria strains were then identified based on their reactions on the above-mentioned biochemical tests. Fungi identification was done by microscopic examination to determine the morphological characteristics of the isolates.</w:t>
      </w:r>
    </w:p>
    <w:p>
      <w:pPr>
        <w:pStyle w:val="FirstParagraph"/>
      </w:pPr>
      <w:r>
        <w:rPr>
          <w:b/>
          <w:bCs/>
        </w:rPr>
        <w:t xml:space="preserve">Soil Microbiology</w:t>
      </w:r>
    </w:p>
    <w:p>
      <w:pPr>
        <w:pStyle w:val="BodyText"/>
      </w:pPr>
      <w:r>
        <w:t xml:space="preserve">Microbes in the soil have substantial role in the recycling of nutrients, and break down of dead and decomposing organic matter and in the aiding the attenuation of soil contaminants. Heterotrophic bacterial derive their carbon and energy from complex organic substance/organic matter.</w:t>
      </w:r>
    </w:p>
    <w:p>
      <w:pPr>
        <w:pStyle w:val="Compact"/>
        <w:numPr>
          <w:ilvl w:val="0"/>
          <w:numId w:val="1003"/>
        </w:numPr>
      </w:pPr>
      <w:r>
        <w:rPr>
          <w:b/>
          <w:bCs/>
        </w:rPr>
        <w:t xml:space="preserve">Total Heterotrophic Bacterial (THB) Count</w:t>
      </w:r>
      <w:r>
        <w:t xml:space="preserve">: A hundred-fold serial dilutions of the water samples were carried out five times in a set of test tubes containing 9.9 ml sterile distilled water (Dilutions 10-2, 10-5, 10-6, 10-8, and 10-10). 1 ml of each dilution was then plated using nutrient agar medium (sterile) kept in molten form. Pour plate method was thereafter adopted in inoculation. Having allowed the agar plates to set, the culture plates were incubated aerobically at 35°C for 36-48 hours, thus only allowing the enumeration of aerobes and facultative heterotrophic bacteria. The plates were observed for growth and selected for count after the expiration of the incubation period. The culture plate in which the number of colonies was less than 300 was selected for each sample. The count was multiplied by the dilution factor and expressed as colony forming unit (cfu) per milliliter of the original sample. This represented a viable count, i.e. Plate Count (cfu/ml) = (No. of Colonies on Plate) x (Dilution Factor).</w:t>
      </w:r>
    </w:p>
    <w:p>
      <w:pPr>
        <w:pStyle w:val="Compact"/>
        <w:numPr>
          <w:ilvl w:val="0"/>
          <w:numId w:val="1003"/>
        </w:numPr>
      </w:pPr>
      <w:r>
        <w:rPr>
          <w:b/>
          <w:bCs/>
        </w:rPr>
        <w:t xml:space="preserve">Total Heterotrophic Fungi (THF) Count</w:t>
      </w:r>
      <w:r>
        <w:t xml:space="preserve">: A similar procedure for THB was repeated for the total fungi count. The differences are as follows:</w:t>
      </w:r>
    </w:p>
    <w:p>
      <w:pPr>
        <w:pStyle w:val="Compact"/>
        <w:numPr>
          <w:ilvl w:val="1"/>
          <w:numId w:val="1004"/>
        </w:numPr>
      </w:pPr>
      <w:r>
        <w:t xml:space="preserve">Malt extract agar was employed as the culture medium.</w:t>
      </w:r>
    </w:p>
    <w:p>
      <w:pPr>
        <w:pStyle w:val="Compact"/>
        <w:numPr>
          <w:ilvl w:val="1"/>
          <w:numId w:val="1004"/>
        </w:numPr>
      </w:pPr>
      <w:r>
        <w:t xml:space="preserve">The culture plates were incubated aerobically at 30°C for 5 - 7 days (until the plates showed no further increase in the number of fungal colonies).</w:t>
      </w:r>
    </w:p>
    <w:p>
      <w:pPr>
        <w:pStyle w:val="FirstParagraph"/>
      </w:pPr>
      <w:r>
        <w:rPr>
          <w:b/>
          <w:bCs/>
        </w:rPr>
        <w:t xml:space="preserve">Isolation and Identification of Microorganisms</w:t>
      </w:r>
    </w:p>
    <w:p>
      <w:pPr>
        <w:pStyle w:val="BodyText"/>
      </w:pPr>
      <w:r>
        <w:t xml:space="preserve">Bacteria and fungi isolates were obtained from the previous culture plates and tubes. Parameters used in differentiating each isolate included colonial characteristics (elevation, edges, texture, pigmentation etc); cell morphology (shape, arrangement and gram reaction); and spore formation. The bacteria isolates were sub cultured on nutrient agar slants while the fungi were sub cultured on malt extract agar slants for further work. Primary identification for each bacterial isolated was carried out by sub-culturing onto eosin methylene blue agar, MacConkey agar; triple sugars iron agar for differentiating enteric bacilli; mannitol salt agar for staphylococci; blood agar for haemolytic cocci and nutrient agar for other bacteria. Further and confirmatory biochemical reactions in the identification processes were carried out employing various tests such as gelatin liquefaction, nitrate reduction, sugars fermentation, indole formation, H2S production and measurements of motility, citrate utilization, catalase, coagulase, MRVP and oxidase.</w:t>
      </w:r>
    </w:p>
    <w:p>
      <w:pPr>
        <w:pStyle w:val="BodyText"/>
      </w:pPr>
      <w:r>
        <w:t xml:space="preserve">The information generated /data collected for the various isolates was compared with standards available in various manuals and textbooks such as the Bergy’s Manual of Determinative Bacteriology (Bread et al., 1962). Moulds and yeast isolates were identified by their growth characteristics (i.e. texture, pigmentation, form, spore formation etc.) and morphology. Staining techniques using lacto-phenol in cotton blue (for moulds) and gram staining (for yeasts) were used. The prepared slides were examined afterwards under the microscope. Drawings of the various structures (i.e. sporangium, sporangiophores, collumellae, mycelium, spores, ascospores, etc.) of each isolate were made, studied and compared with the standard drawings of commonly encountered moulds and yeasts in manual.</w:t>
      </w:r>
    </w:p>
    <w:p>
      <w:pPr>
        <w:pStyle w:val="BodyText"/>
      </w:pPr>
      <w:r>
        <w:rPr>
          <w:b/>
          <w:bCs/>
        </w:rPr>
        <w:t xml:space="preserve">Community Structure Analysis</w:t>
      </w:r>
    </w:p>
    <w:p>
      <w:pPr>
        <w:pStyle w:val="BodyText"/>
      </w:pPr>
      <w:r>
        <w:t xml:space="preserve">Biodiversity or Biological Diversity is the sum of all the different species of animals, plants, fungi, and microbial organisms living on Earth and the variety of habitats in which they live. Biodiversity is also the variation of life forms within a given ecosystem, biome or for the entire Earth. Consequently, biodiversity is often used as a measure of the health of systems. A diversity index is a mathematical measure of species diversity in a community. Diversity indices provide important information about rarity and commonness of species in a community. The ability to quantify diversity in this way is an important tool for biologists trying to understand community structure. The following diversity indices were used for biological data:</w:t>
      </w:r>
    </w:p>
    <w:p>
      <w:pPr>
        <w:pStyle w:val="Compact"/>
        <w:numPr>
          <w:ilvl w:val="0"/>
          <w:numId w:val="1005"/>
        </w:numPr>
      </w:pPr>
      <w:r>
        <w:rPr>
          <w:b/>
          <w:bCs/>
        </w:rPr>
        <w:t xml:space="preserve">Species Richness Index (d)</w:t>
      </w:r>
      <w:r>
        <w:t xml:space="preserve">: The Species richness index (d) according to Margalef (1951) is a measure of diversity and was used to evaluate the community structure. Species Richness is a measure of the number of different kinds of organisms present in a particular area. This index is also referred to as Margalef index.</w:t>
      </w:r>
    </w:p>
    <w:p>
      <w:pPr>
        <w:pStyle w:val="Compact"/>
        <w:numPr>
          <w:ilvl w:val="0"/>
          <w:numId w:val="1005"/>
        </w:numPr>
      </w:pPr>
      <w:r>
        <w:rPr>
          <w:b/>
          <w:bCs/>
        </w:rPr>
        <w:t xml:space="preserve">Menhinick’s Index (D)</w:t>
      </w:r>
      <w:r>
        <w:t xml:space="preserve"> </w:t>
      </w:r>
      <w:r>
        <w:t xml:space="preserve">(Ogbeibu, 2005): The Menhinick’s Index (D) is one of several diversity indices used to quantify diversity and hence measure diversity in categorical data. It represents a biological association with a number that give a measure of its community structure.</w:t>
      </w:r>
    </w:p>
    <w:p>
      <w:pPr>
        <w:pStyle w:val="Compact"/>
        <w:numPr>
          <w:ilvl w:val="0"/>
          <w:numId w:val="1005"/>
        </w:numPr>
      </w:pPr>
      <w:r>
        <w:rPr>
          <w:b/>
          <w:bCs/>
        </w:rPr>
        <w:t xml:space="preserve">Shannon and Weiner diversity index (Hs)</w:t>
      </w:r>
      <w:r>
        <w:t xml:space="preserve"> </w:t>
      </w:r>
      <w:r>
        <w:t xml:space="preserve">(Ogbeibu, 2005): The Shannon and Weiner diversity index (Hs) is one of several diversity indices used to measure diversity in categorical data. It is simply the Information entropy of the distribution, treating species as symbols and their relative population sizes as the probability. Shannon and Wiener (1963) diversity index is also called Shannon index.</w:t>
      </w:r>
    </w:p>
    <w:p>
      <w:pPr>
        <w:pStyle w:val="Compact"/>
        <w:numPr>
          <w:ilvl w:val="0"/>
          <w:numId w:val="1005"/>
        </w:numPr>
      </w:pPr>
      <w:r>
        <w:rPr>
          <w:b/>
          <w:bCs/>
        </w:rPr>
        <w:t xml:space="preserve">Species Equitability or Evenness index (j)</w:t>
      </w:r>
      <w:r>
        <w:t xml:space="preserve"> </w:t>
      </w:r>
      <w:r>
        <w:t xml:space="preserve">(Ogbeibu, 2005): The Species Equitability or Evenness index (j) is one of several diversity indices used to measure diversity in categorical data. Evenness is a measure of the relative abundance of the different species making up the richness of an area.</w:t>
      </w:r>
    </w:p>
    <w:p>
      <w:pPr>
        <w:pStyle w:val="Compact"/>
        <w:numPr>
          <w:ilvl w:val="0"/>
          <w:numId w:val="1005"/>
        </w:numPr>
      </w:pPr>
      <w:r>
        <w:rPr>
          <w:b/>
          <w:bCs/>
        </w:rPr>
        <w:t xml:space="preserve">Simpsons Dominance index (C)</w:t>
      </w:r>
      <w:r>
        <w:t xml:space="preserve"> </w:t>
      </w:r>
      <w:r>
        <w:t xml:space="preserve">(Ogbeibu, 2005): Simpson’s Diversity Index is a measure of diversity. In ecology, it is often used to quantify the biodiversity of a habitat. It considers the number of species present, as well as the abundance of each species. Simpson’s diversity index (D) is a simple mathematical measure that characterizes species diversity in a community. The proportion of species i relative to the total number of species (pi) are calculated and squared. The squared proportions for all the species are summed, and the reciprocal is taken.</w:t>
      </w:r>
    </w:p>
    <w:p>
      <w:pPr>
        <w:pStyle w:val="FirstParagraph"/>
      </w:pPr>
      <w:r>
        <w:rPr>
          <w:b/>
          <w:bCs/>
        </w:rPr>
        <w:t xml:space="preserve">4.11. Results and Discussion</w:t>
      </w:r>
    </w:p>
    <w:p>
      <w:pPr>
        <w:pStyle w:val="BodyText"/>
      </w:pPr>
      <w:r>
        <w:t xml:space="preserve">The results for the dry season EIA field study are presented in this section. The results include air, noise, surface, ground water and soil quality assessment.</w:t>
      </w:r>
    </w:p>
    <w:p>
      <w:pPr>
        <w:pStyle w:val="BodyText"/>
      </w:pPr>
      <w:r>
        <w:rPr>
          <w:b/>
          <w:bCs/>
        </w:rPr>
        <w:t xml:space="preserve">Air Quality</w:t>
      </w:r>
    </w:p>
    <w:p>
      <w:pPr>
        <w:pStyle w:val="BodyText"/>
      </w:pPr>
      <w:r>
        <w:rPr>
          <w:b/>
          <w:bCs/>
        </w:rPr>
        <w:t xml:space="preserve">Table 4.17: Mean values of Gaseous Pollutants measured during the Study</w:t>
      </w:r>
      <w:r>
        <w:t xml:space="preserve"> </w:t>
      </w:r>
      <w:r>
        <w:t xml:space="preserve">| Station code | Gaseous Pollutant (ppm) | Particulate (ug/m3) |</w:t>
      </w:r>
      <w:r>
        <w:t xml:space="preserve"> </w:t>
      </w:r>
      <w:r>
        <w:t xml:space="preserve">| :— | :— | :— |</w:t>
      </w:r>
      <w:r>
        <w:t xml:space="preserve"> </w:t>
      </w:r>
      <w:r>
        <w:t xml:space="preserve">| |</w:t>
      </w:r>
      <w:r>
        <w:t xml:space="preserve"> </w:t>
      </w:r>
      <w:r>
        <w:rPr>
          <w:b/>
          <w:bCs/>
        </w:rPr>
        <w:t xml:space="preserve">CH4</w:t>
      </w:r>
      <w:r>
        <w:t xml:space="preserve"> </w:t>
      </w:r>
      <w:r>
        <w:t xml:space="preserve">|</w:t>
      </w:r>
      <w:r>
        <w:t xml:space="preserve"> </w:t>
      </w:r>
      <w:r>
        <w:rPr>
          <w:b/>
          <w:bCs/>
        </w:rPr>
        <w:t xml:space="preserve">CO</w:t>
      </w:r>
      <w:r>
        <w:t xml:space="preserve"> </w:t>
      </w:r>
      <w:r>
        <w:t xml:space="preserve">|</w:t>
      </w:r>
      <w:r>
        <w:t xml:space="preserve"> </w:t>
      </w:r>
      <w:r>
        <w:rPr>
          <w:b/>
          <w:bCs/>
        </w:rPr>
        <w:t xml:space="preserve">NO2</w:t>
      </w:r>
      <w:r>
        <w:t xml:space="preserve"> </w:t>
      </w:r>
      <w:r>
        <w:t xml:space="preserve">|</w:t>
      </w:r>
      <w:r>
        <w:t xml:space="preserve"> </w:t>
      </w:r>
      <w:r>
        <w:rPr>
          <w:b/>
          <w:bCs/>
        </w:rPr>
        <w:t xml:space="preserve">SO2</w:t>
      </w:r>
      <w:r>
        <w:t xml:space="preserve"> </w:t>
      </w:r>
      <w:r>
        <w:t xml:space="preserve">|</w:t>
      </w:r>
      <w:r>
        <w:t xml:space="preserve"> </w:t>
      </w:r>
      <w:r>
        <w:rPr>
          <w:b/>
          <w:bCs/>
        </w:rPr>
        <w:t xml:space="preserve">H2S</w:t>
      </w:r>
      <w:r>
        <w:t xml:space="preserve"> </w:t>
      </w:r>
      <w:r>
        <w:t xml:space="preserve">|</w:t>
      </w:r>
      <w:r>
        <w:t xml:space="preserve"> </w:t>
      </w:r>
      <w:r>
        <w:rPr>
          <w:b/>
          <w:bCs/>
        </w:rPr>
        <w:t xml:space="preserve">VOC</w:t>
      </w:r>
      <w:r>
        <w:t xml:space="preserve"> </w:t>
      </w:r>
      <w:r>
        <w:t xml:space="preserve">|</w:t>
      </w:r>
      <w:r>
        <w:t xml:space="preserve"> </w:t>
      </w:r>
      <w:r>
        <w:rPr>
          <w:b/>
          <w:bCs/>
        </w:rPr>
        <w:t xml:space="preserve">PM2.5</w:t>
      </w:r>
      <w:r>
        <w:t xml:space="preserve"> </w:t>
      </w:r>
      <w:r>
        <w:t xml:space="preserve">|</w:t>
      </w:r>
      <w:r>
        <w:t xml:space="preserve"> </w:t>
      </w:r>
      <w:r>
        <w:rPr>
          <w:b/>
          <w:bCs/>
        </w:rPr>
        <w:t xml:space="preserve">PM10</w:t>
      </w:r>
      <w:r>
        <w:t xml:space="preserve"> </w:t>
      </w:r>
      <w:r>
        <w:t xml:space="preserve">|</w:t>
      </w:r>
      <w:r>
        <w:t xml:space="preserve"> </w:t>
      </w:r>
      <w:r>
        <w:t xml:space="preserve">| AQ1 | 1.29 | 5.0 | 0.02 | 0.01 | 0.0 | 6.07 | 15.0 | 21.0 |</w:t>
      </w:r>
      <w:r>
        <w:t xml:space="preserve"> </w:t>
      </w:r>
      <w:r>
        <w:t xml:space="preserve">| AQ2 | 1.49 | 12.9 | 0.01 | 0.00 | 0.0 | 8.25 | 7.0 | 27.0 |</w:t>
      </w:r>
      <w:r>
        <w:t xml:space="preserve"> </w:t>
      </w:r>
      <w:r>
        <w:t xml:space="preserve">| AQ3 | 0.35 | 0.0 | 0.00 | 0.01 | 0.0 | 1.84 | 5.0 | 10.0 |</w:t>
      </w:r>
      <w:r>
        <w:t xml:space="preserve"> </w:t>
      </w:r>
      <w:r>
        <w:t xml:space="preserve">| AQ4 | 2.10 | 0.0 | 0.03 | 0.00 | 0.0 | 3.40 | 6.0 | 11.0 |</w:t>
      </w:r>
      <w:r>
        <w:t xml:space="preserve"> </w:t>
      </w:r>
      <w:r>
        <w:t xml:space="preserve">| AQ5 | 1.51 | 1.0 | 0.02 | 0.00 | 0.0 | 1.25 | 5.0 | 10.0 |</w:t>
      </w:r>
      <w:r>
        <w:t xml:space="preserve"> </w:t>
      </w:r>
      <w:r>
        <w:t xml:space="preserve">| AQ6(Control) | 0.37 | 0.0 | 0.01 | 0.00 | 0.0 | 1.10 | 5.0 | 10.0 |</w:t>
      </w:r>
      <w:r>
        <w:t xml:space="preserve"> </w:t>
      </w:r>
      <w:r>
        <w:t xml:space="preserve">|</w:t>
      </w:r>
      <w:r>
        <w:t xml:space="preserve"> </w:t>
      </w:r>
      <w:r>
        <w:rPr>
          <w:b/>
          <w:bCs/>
        </w:rPr>
        <w:t xml:space="preserve">Mean</w:t>
      </w:r>
      <w:r>
        <w:t xml:space="preserve"> </w:t>
      </w:r>
      <w:r>
        <w:t xml:space="preserve">|</w:t>
      </w:r>
      <w:r>
        <w:t xml:space="preserve"> </w:t>
      </w:r>
      <w:r>
        <w:rPr>
          <w:b/>
          <w:bCs/>
        </w:rPr>
        <w:t xml:space="preserve">1.348</w:t>
      </w:r>
      <w:r>
        <w:t xml:space="preserve"> </w:t>
      </w:r>
      <w:r>
        <w:t xml:space="preserve">|</w:t>
      </w:r>
      <w:r>
        <w:t xml:space="preserve"> </w:t>
      </w:r>
      <w:r>
        <w:rPr>
          <w:b/>
          <w:bCs/>
        </w:rPr>
        <w:t xml:space="preserve">3.78</w:t>
      </w:r>
      <w:r>
        <w:t xml:space="preserve"> </w:t>
      </w:r>
      <w:r>
        <w:t xml:space="preserve">|</w:t>
      </w:r>
      <w:r>
        <w:t xml:space="preserve"> </w:t>
      </w:r>
      <w:r>
        <w:rPr>
          <w:b/>
          <w:bCs/>
        </w:rPr>
        <w:t xml:space="preserve">0.016</w:t>
      </w:r>
      <w:r>
        <w:t xml:space="preserve"> </w:t>
      </w:r>
      <w:r>
        <w:t xml:space="preserve">|</w:t>
      </w:r>
      <w:r>
        <w:t xml:space="preserve"> </w:t>
      </w:r>
      <w:r>
        <w:rPr>
          <w:b/>
          <w:bCs/>
        </w:rPr>
        <w:t xml:space="preserve">0.004</w:t>
      </w:r>
      <w:r>
        <w:t xml:space="preserve"> </w:t>
      </w:r>
      <w:r>
        <w:t xml:space="preserve">|</w:t>
      </w:r>
      <w:r>
        <w:t xml:space="preserve"> </w:t>
      </w:r>
      <w:r>
        <w:rPr>
          <w:b/>
          <w:bCs/>
        </w:rPr>
        <w:t xml:space="preserve">0.0</w:t>
      </w:r>
      <w:r>
        <w:t xml:space="preserve"> </w:t>
      </w:r>
      <w:r>
        <w:t xml:space="preserve">|</w:t>
      </w:r>
      <w:r>
        <w:t xml:space="preserve"> </w:t>
      </w:r>
      <w:r>
        <w:rPr>
          <w:b/>
          <w:bCs/>
        </w:rPr>
        <w:t xml:space="preserve">4.162</w:t>
      </w:r>
      <w:r>
        <w:t xml:space="preserve"> </w:t>
      </w:r>
      <w:r>
        <w:t xml:space="preserve">|</w:t>
      </w:r>
      <w:r>
        <w:t xml:space="preserve"> </w:t>
      </w:r>
      <w:r>
        <w:rPr>
          <w:b/>
          <w:bCs/>
        </w:rPr>
        <w:t xml:space="preserve">7.6</w:t>
      </w:r>
      <w:r>
        <w:t xml:space="preserve"> </w:t>
      </w:r>
      <w:r>
        <w:t xml:space="preserve">|</w:t>
      </w:r>
      <w:r>
        <w:t xml:space="preserve"> </w:t>
      </w:r>
      <w:r>
        <w:rPr>
          <w:b/>
          <w:bCs/>
        </w:rPr>
        <w:t xml:space="preserve">15.8</w:t>
      </w:r>
      <w:r>
        <w:t xml:space="preserve"> </w:t>
      </w:r>
      <w:r>
        <w:t xml:space="preserve">|</w:t>
      </w:r>
      <w:r>
        <w:t xml:space="preserve"> </w:t>
      </w:r>
      <w:r>
        <w:t xml:space="preserve">|</w:t>
      </w:r>
      <w:r>
        <w:t xml:space="preserve"> </w:t>
      </w:r>
      <w:r>
        <w:rPr>
          <w:b/>
          <w:bCs/>
        </w:rPr>
        <w:t xml:space="preserve">FMEnv Limit</w:t>
      </w:r>
      <w:r>
        <w:t xml:space="preserve"> </w:t>
      </w:r>
      <w:r>
        <w:t xml:space="preserve">| |</w:t>
      </w:r>
      <w:r>
        <w:t xml:space="preserve"> </w:t>
      </w:r>
      <w:r>
        <w:rPr>
          <w:b/>
          <w:bCs/>
        </w:rPr>
        <w:t xml:space="preserve">10</w:t>
      </w:r>
      <w:r>
        <w:t xml:space="preserve"> </w:t>
      </w:r>
      <w:r>
        <w:t xml:space="preserve">|</w:t>
      </w:r>
      <w:r>
        <w:t xml:space="preserve"> </w:t>
      </w:r>
      <w:r>
        <w:rPr>
          <w:b/>
          <w:bCs/>
        </w:rPr>
        <w:t xml:space="preserve">0.04</w:t>
      </w:r>
      <w:r>
        <w:t xml:space="preserve"> </w:t>
      </w:r>
      <w:r>
        <w:t xml:space="preserve">|</w:t>
      </w:r>
      <w:r>
        <w:t xml:space="preserve"> </w:t>
      </w:r>
      <w:r>
        <w:rPr>
          <w:b/>
          <w:bCs/>
        </w:rPr>
        <w:t xml:space="preserve">0.01</w:t>
      </w:r>
      <w:r>
        <w:t xml:space="preserve"> </w:t>
      </w:r>
      <w:r>
        <w:t xml:space="preserve">| | | | |</w:t>
      </w:r>
      <w:r>
        <w:t xml:space="preserve"> </w:t>
      </w:r>
      <w:r>
        <w:t xml:space="preserve">|</w:t>
      </w:r>
      <w:r>
        <w:t xml:space="preserve"> </w:t>
      </w:r>
      <w:r>
        <w:rPr>
          <w:b/>
          <w:bCs/>
        </w:rPr>
        <w:t xml:space="preserve">WHO</w:t>
      </w:r>
      <w:r>
        <w:t xml:space="preserve"> </w:t>
      </w:r>
      <w:r>
        <w:t xml:space="preserve">| | | | | | |</w:t>
      </w:r>
      <w:r>
        <w:t xml:space="preserve"> </w:t>
      </w:r>
      <w:r>
        <w:rPr>
          <w:b/>
          <w:bCs/>
        </w:rPr>
        <w:t xml:space="preserve">25.0</w:t>
      </w:r>
      <w:r>
        <w:t xml:space="preserve"> </w:t>
      </w:r>
      <w:r>
        <w:t xml:space="preserve">|</w:t>
      </w:r>
      <w:r>
        <w:t xml:space="preserve"> </w:t>
      </w:r>
      <w:r>
        <w:rPr>
          <w:b/>
          <w:bCs/>
        </w:rPr>
        <w:t xml:space="preserve">50.0</w:t>
      </w:r>
      <w:r>
        <w:t xml:space="preserve"> </w:t>
      </w:r>
      <w:r>
        <w:t xml:space="preserve">|</w:t>
      </w:r>
      <w:r>
        <w:t xml:space="preserve"> </w:t>
      </w:r>
      <w:r>
        <w:rPr>
          <w:i/>
          <w:iCs/>
        </w:rPr>
        <w:t xml:space="preserve">Source: GEECL fieldwork February 2023</w:t>
      </w:r>
    </w:p>
    <w:p>
      <w:pPr>
        <w:pStyle w:val="BodyText"/>
      </w:pPr>
      <w:r>
        <w:rPr>
          <w:b/>
          <w:bCs/>
        </w:rPr>
        <w:t xml:space="preserve">Gaseous Pollutants:</w:t>
      </w:r>
    </w:p>
    <w:p>
      <w:pPr>
        <w:pStyle w:val="Compact"/>
        <w:numPr>
          <w:ilvl w:val="0"/>
          <w:numId w:val="1006"/>
        </w:numPr>
      </w:pPr>
      <w:r>
        <w:rPr>
          <w:b/>
          <w:bCs/>
        </w:rPr>
        <w:t xml:space="preserve">Nitrogen Oxides (NOx)</w:t>
      </w:r>
      <w:r>
        <w:t xml:space="preserve">: The values of NO2 recorded were found to range between 0.00 and 0.02ppm which were below the FMEnv regulatory limit of 0.04ppm.</w:t>
      </w:r>
    </w:p>
    <w:p>
      <w:pPr>
        <w:pStyle w:val="Compact"/>
        <w:numPr>
          <w:ilvl w:val="0"/>
          <w:numId w:val="1006"/>
        </w:numPr>
      </w:pPr>
      <w:r>
        <w:rPr>
          <w:b/>
          <w:bCs/>
        </w:rPr>
        <w:t xml:space="preserve">Sulphur Dioxides (SO2)</w:t>
      </w:r>
      <w:r>
        <w:t xml:space="preserve">: The values obtained for SO2 ranged between 0.00 and 0.01 ppm which were also within the FMEnv regulatory limit of 0.01 ppm.</w:t>
      </w:r>
    </w:p>
    <w:p>
      <w:pPr>
        <w:pStyle w:val="Compact"/>
        <w:numPr>
          <w:ilvl w:val="0"/>
          <w:numId w:val="1006"/>
        </w:numPr>
      </w:pPr>
      <w:r>
        <w:rPr>
          <w:b/>
          <w:bCs/>
        </w:rPr>
        <w:t xml:space="preserve">Carbon monoxide</w:t>
      </w:r>
      <w:r>
        <w:t xml:space="preserve">: CO values ranged between 0.0ppm and 12.0ppm, the value of 12ppm recorded at the first sampling point (AQ1) exceeded the FMEnv regulatory limit of 10ppm. This is attributable to the close proximity of the sampling point to the Lagos-Badagry expressway where there were high vehicular emissions from the vehicles plying the high way.</w:t>
      </w:r>
    </w:p>
    <w:p>
      <w:pPr>
        <w:pStyle w:val="FirstParagraph"/>
      </w:pPr>
      <w:r>
        <w:rPr>
          <w:b/>
          <w:bCs/>
        </w:rPr>
        <w:t xml:space="preserve">Noise Level</w:t>
      </w:r>
    </w:p>
    <w:p>
      <w:pPr>
        <w:pStyle w:val="BodyText"/>
      </w:pPr>
      <w:r>
        <w:t xml:space="preserve">The average noise level ranged between 41.0dB(A) and 68.0dB(A). Table 4.15 (renumbered from 4.18) presents details of the noise level measurements captured during fieldwork. The values recorded within the proposed project site (AQ1, AQ2 &amp; AQ3) slightly exceeded the Noise Exposure Limits of the National Environmental Standard and Regulation Enforcement Agency (NESREA) for the landuse pattern for the proposed project location (60dBA). This is attributable to the noise emanating from the vehicular movements within the proposed project area. The noise level recorded at sampling AQ4 and AQ5 are within the regulatory limits respectively.</w:t>
      </w:r>
    </w:p>
    <w:p>
      <w:pPr>
        <w:pStyle w:val="BodyText"/>
      </w:pPr>
      <w:r>
        <w:rPr>
          <w:b/>
          <w:bCs/>
        </w:rPr>
        <w:t xml:space="preserve">Table 4.15: Result of the Ambient Noise Level during dry season</w:t>
      </w:r>
      <w:r>
        <w:t xml:space="preserve"> </w:t>
      </w:r>
      <w:r>
        <w:t xml:space="preserve">| Sampling Point | Landuse | Result (dBA) | NESREA |</w:t>
      </w:r>
      <w:r>
        <w:t xml:space="preserve"> </w:t>
      </w:r>
      <w:r>
        <w:t xml:space="preserve">| :— | :— | :— | :— |</w:t>
      </w:r>
      <w:r>
        <w:t xml:space="preserve"> </w:t>
      </w:r>
      <w:r>
        <w:t xml:space="preserve">| AQ1 | Mixed use (Residential High Traffic) | 68.0 | 70.0 |</w:t>
      </w:r>
      <w:r>
        <w:t xml:space="preserve"> </w:t>
      </w:r>
      <w:r>
        <w:t xml:space="preserve">| AQ2 | Mixed Use (Residential+High Traffic) | 68.0 | 70.0 |</w:t>
      </w:r>
      <w:r>
        <w:t xml:space="preserve"> </w:t>
      </w:r>
      <w:r>
        <w:t xml:space="preserve">| AQ3 | Mixed use (Residential High Traffic) | 67.0 | 70.0 |</w:t>
      </w:r>
      <w:r>
        <w:t xml:space="preserve"> </w:t>
      </w:r>
      <w:r>
        <w:t xml:space="preserve">| AQ4 | Residential | 45.0 | 50.0 |</w:t>
      </w:r>
      <w:r>
        <w:t xml:space="preserve"> </w:t>
      </w:r>
      <w:r>
        <w:t xml:space="preserve">| AQ5 | Residential | 41.0 | 50.0 |</w:t>
      </w:r>
      <w:r>
        <w:t xml:space="preserve"> </w:t>
      </w:r>
      <w:r>
        <w:t xml:space="preserve">| AQ6 | Mixed use (Residential +Commercial) | 55.0 | 55.0 |</w:t>
      </w:r>
    </w:p>
    <w:p>
      <w:pPr>
        <w:pStyle w:val="BodyText"/>
      </w:pPr>
      <w:r>
        <w:rPr>
          <w:b/>
          <w:bCs/>
        </w:rPr>
        <w:t xml:space="preserve">Table 4.16: Noise Exposure Limits for General Environment</w:t>
      </w:r>
      <w:r>
        <w:t xml:space="preserve"> </w:t>
      </w:r>
      <w:r>
        <w:t xml:space="preserve">| FACILITY | Maximum Permissible Noise Limit dBA |</w:t>
      </w:r>
      <w:r>
        <w:t xml:space="preserve"> </w:t>
      </w:r>
      <w:r>
        <w:t xml:space="preserve">| :— | :— |</w:t>
      </w:r>
      <w:r>
        <w:t xml:space="preserve"> </w:t>
      </w:r>
      <w:r>
        <w:t xml:space="preserve">| |</w:t>
      </w:r>
      <w:r>
        <w:t xml:space="preserve"> </w:t>
      </w:r>
      <w:r>
        <w:rPr>
          <w:b/>
          <w:bCs/>
        </w:rPr>
        <w:t xml:space="preserve">DAY</w:t>
      </w:r>
      <w:r>
        <w:t xml:space="preserve"> </w:t>
      </w:r>
      <w:r>
        <w:t xml:space="preserve">|</w:t>
      </w:r>
      <w:r>
        <w:t xml:space="preserve"> </w:t>
      </w:r>
      <w:r>
        <w:rPr>
          <w:b/>
          <w:bCs/>
        </w:rPr>
        <w:t xml:space="preserve">NIGHT</w:t>
      </w:r>
      <w:r>
        <w:t xml:space="preserve"> </w:t>
      </w:r>
      <w:r>
        <w:t xml:space="preserve">|</w:t>
      </w:r>
      <w:r>
        <w:t xml:space="preserve"> </w:t>
      </w:r>
      <w:r>
        <w:t xml:space="preserve">| Any building used as hospital, convalescence home, home for the aged, sanatorium and institutes of higher learning, conference rooms, public library, environmental or recreational sites. | 45 | 35 |</w:t>
      </w:r>
      <w:r>
        <w:t xml:space="preserve"> </w:t>
      </w:r>
      <w:r>
        <w:t xml:space="preserve">| Residential Buildings | 50 | 35 |</w:t>
      </w:r>
      <w:r>
        <w:t xml:space="preserve"> </w:t>
      </w:r>
      <w:r>
        <w:t xml:space="preserve">| Mixed Residential (with some commercial and entertainment) | 55 | 45 |</w:t>
      </w:r>
      <w:r>
        <w:t xml:space="preserve"> </w:t>
      </w:r>
      <w:r>
        <w:t xml:space="preserve">| Residential + Industry or Small scale production + Commercial | 60 | 50 |</w:t>
      </w:r>
      <w:r>
        <w:t xml:space="preserve"> </w:t>
      </w:r>
      <w:r>
        <w:t xml:space="preserve">| Industry (outside perimeter fence) | 70 | 60 |</w:t>
      </w:r>
      <w:r>
        <w:t xml:space="preserve"> </w:t>
      </w:r>
      <w:r>
        <w:rPr>
          <w:i/>
          <w:iCs/>
        </w:rPr>
        <w:t xml:space="preserve">Source: NESREA 2017</w:t>
      </w:r>
      <w:r>
        <w:t xml:space="preserve"> </w:t>
      </w:r>
      <w:r>
        <w:rPr>
          <w:i/>
          <w:iCs/>
        </w:rPr>
        <w:t xml:space="preserve">Time Frame Use Duration: Day 6:00am-10:00pm; Night 10:00pm-6:00am. The time frame takes into consideration human activity.</w:t>
      </w:r>
    </w:p>
    <w:p>
      <w:pPr>
        <w:pStyle w:val="BodyText"/>
      </w:pPr>
      <w:r>
        <w:rPr>
          <w:b/>
          <w:bCs/>
        </w:rPr>
        <w:t xml:space="preserve">Surface Water Quality</w:t>
      </w:r>
    </w:p>
    <w:p>
      <w:pPr>
        <w:pStyle w:val="BodyText"/>
      </w:pPr>
      <w:r>
        <w:rPr>
          <w:b/>
          <w:bCs/>
        </w:rPr>
        <w:t xml:space="preserve">Table 4.17 Surface Water Results</w:t>
      </w:r>
      <w:r>
        <w:t xml:space="preserve"> </w:t>
      </w:r>
      <w:r>
        <w:t xml:space="preserve">| Parameter and unit of Measurement | SW1 | SW2 | SW3 | SW4 | Control | FMEnv Limits |</w:t>
      </w:r>
      <w:r>
        <w:t xml:space="preserve"> </w:t>
      </w:r>
      <w:r>
        <w:t xml:space="preserve">| :— | :– | :– | :– | :– | :— | :— |</w:t>
      </w:r>
      <w:r>
        <w:t xml:space="preserve"> </w:t>
      </w:r>
      <w:r>
        <w:t xml:space="preserve">| pH | 6.15 | 6.40 | 6.58 | 6.45 | 7.5 | 6.5 - 8.5 |</w:t>
      </w:r>
      <w:r>
        <w:t xml:space="preserve"> </w:t>
      </w:r>
      <w:r>
        <w:t xml:space="preserve">| Turbidity, NTU | 2.4 | 26.3 | 1.9 | 13.4 | 9.5 | 110.91 |</w:t>
      </w:r>
      <w:r>
        <w:t xml:space="preserve"> </w:t>
      </w:r>
      <w:r>
        <w:t xml:space="preserve">| Salinity, mg/L | 7.9 | 6.6 | 7.9 | 7.9 | 25 | NS |</w:t>
      </w:r>
      <w:r>
        <w:t xml:space="preserve"> </w:t>
      </w:r>
      <w:r>
        <w:t xml:space="preserve">| Total Hardness, mg/L | 10.2 | 8.2 | 11.3 | 12.7 | 11.5 | 190.57 |</w:t>
      </w:r>
      <w:r>
        <w:t xml:space="preserve"> </w:t>
      </w:r>
      <w:r>
        <w:t xml:space="preserve">| Calcium, mg/L | 1.2 | 1.08 | 1.1 | 1.2 | 3.8 | 300 |</w:t>
      </w:r>
      <w:r>
        <w:t xml:space="preserve"> </w:t>
      </w:r>
      <w:r>
        <w:t xml:space="preserve">| Chloride, mg/L | 18.4 | 16.2 | 17.7 | 19.8 | 16.2 | 441.6 |</w:t>
      </w:r>
      <w:r>
        <w:t xml:space="preserve"> </w:t>
      </w:r>
      <w:r>
        <w:t xml:space="preserve">| Bicarbonate, mg/L | 2 | 2.1 | 2.3 | 2.2 | 2.1 | NS |</w:t>
      </w:r>
      <w:r>
        <w:t xml:space="preserve"> </w:t>
      </w:r>
      <w:r>
        <w:t xml:space="preserve">| DO (BOD5), mg/L | 4.7 | 2.2 | 2.8 | 1.9 | 3.2 | 3.0 |</w:t>
      </w:r>
      <w:r>
        <w:t xml:space="preserve"> </w:t>
      </w:r>
      <w:r>
        <w:t xml:space="preserve">| COD, mg/L | 54 | 62 | 50 | 48 | 61 | 30.0 |</w:t>
      </w:r>
      <w:r>
        <w:t xml:space="preserve"> </w:t>
      </w:r>
      <w:r>
        <w:t xml:space="preserve">| TSS, mg/L | 2.3 | 6.7 | 2.4 | 4 | 5 | 0.25 |</w:t>
      </w:r>
      <w:r>
        <w:t xml:space="preserve"> </w:t>
      </w:r>
      <w:r>
        <w:t xml:space="preserve">| Nitrate, mg/L | 0.01 | 0.12 | 0.26 | 0.15 | 0.51 | 9.1 |</w:t>
      </w:r>
      <w:r>
        <w:t xml:space="preserve"> </w:t>
      </w:r>
      <w:r>
        <w:t xml:space="preserve">| Phosphate, mg/L | 0.03 | 0.05 | 0.09 | 0.05 | 0.09 | 3.5 |</w:t>
      </w:r>
      <w:r>
        <w:t xml:space="preserve"> </w:t>
      </w:r>
      <w:r>
        <w:t xml:space="preserve">| Sulphide, mg/L | ND | ND | ND | ND | ND | NS |</w:t>
      </w:r>
      <w:r>
        <w:t xml:space="preserve"> </w:t>
      </w:r>
      <w:r>
        <w:t xml:space="preserve">| Sulphate, mg/L | 2.4 | 3.18 | 3.9 | 2.16 | 3.4 | 100 |</w:t>
      </w:r>
      <w:r>
        <w:t xml:space="preserve"> </w:t>
      </w:r>
      <w:r>
        <w:t xml:space="preserve">| O&amp;G, mg/L | ND | &lt;0.01 | &lt;0.01 | 1.2 | 1 | 0.01 |</w:t>
      </w:r>
      <w:r>
        <w:t xml:space="preserve"> </w:t>
      </w:r>
      <w:r>
        <w:t xml:space="preserve">| TPH, mg/L | ND | ND | ND | &lt;0.01 | &lt;0.01 | 15.83 |</w:t>
      </w:r>
      <w:r>
        <w:t xml:space="preserve"> </w:t>
      </w:r>
      <w:r>
        <w:t xml:space="preserve">| THC, mg/L | ND | ND | ND | ND | ND | 0.28 |</w:t>
      </w:r>
      <w:r>
        <w:t xml:space="preserve"> </w:t>
      </w:r>
      <w:r>
        <w:t xml:space="preserve">| Sodium, mg/L | 2.5 | 5.3 | 5.3 | 5.12 | 6.4 | 120.0 |</w:t>
      </w:r>
      <w:r>
        <w:t xml:space="preserve"> </w:t>
      </w:r>
      <w:r>
        <w:t xml:space="preserve">| Potassium, mg/L | 0.7 | 1.27 | 1.3 | 1.42 | 1.2 | 50.0 |</w:t>
      </w:r>
      <w:r>
        <w:t xml:space="preserve"> </w:t>
      </w:r>
      <w:r>
        <w:t xml:space="preserve">| Magnesium, mg/L | 0.36 | 0.38 | 0.63 | 0.57 | 0.35 | 40.0 |</w:t>
      </w:r>
      <w:r>
        <w:t xml:space="preserve"> </w:t>
      </w:r>
      <w:r>
        <w:t xml:space="preserve">| Zinc, mg/L | 0.02 | 0.01 | 0.04 | 0.11 | 0.02 | 0.01 |</w:t>
      </w:r>
    </w:p>
    <w:p>
      <w:pPr>
        <w:pStyle w:val="BodyText"/>
      </w:pPr>
      <w:r>
        <w:rPr>
          <w:b/>
          <w:bCs/>
        </w:rPr>
        <w:t xml:space="preserve">Table 4.18: Statistical Representation of Surface Water Analysis Result</w:t>
      </w:r>
      <w:r>
        <w:t xml:space="preserve"> </w:t>
      </w:r>
      <w:r>
        <w:t xml:space="preserve">(This table was referenced but not provided in the text of Chapter 4.)</w:t>
      </w:r>
    </w:p>
    <w:p>
      <w:pPr>
        <w:pStyle w:val="BodyText"/>
      </w:pPr>
      <w:r>
        <w:t xml:space="preserve">The summary of the results of laboratory analysis of the dry season of surface water quality study at the project area is presented in Table 4.17 above.</w:t>
      </w:r>
      <w:r>
        <w:t xml:space="preserve"> </w:t>
      </w:r>
      <w:r>
        <w:t xml:space="preserve">*</w:t>
      </w:r>
      <w:r>
        <w:t xml:space="preserve"> </w:t>
      </w:r>
      <w:r>
        <w:rPr>
          <w:b/>
          <w:bCs/>
        </w:rPr>
        <w:t xml:space="preserve">pH</w:t>
      </w:r>
      <w:r>
        <w:t xml:space="preserve">: pH ranges from 6.40-6.58 with mean average of 6.49 in the dry season study. A comparison with control samples indicated that the mean pH in the dry season sampling is lower than the samples in the control location.</w:t>
      </w:r>
      <w:r>
        <w:t xml:space="preserve"> </w:t>
      </w:r>
      <w:r>
        <w:t xml:space="preserve">*</w:t>
      </w:r>
      <w:r>
        <w:t xml:space="preserve"> </w:t>
      </w:r>
      <w:r>
        <w:rPr>
          <w:b/>
          <w:bCs/>
        </w:rPr>
        <w:t xml:space="preserve">Electrical Conductivity (EC), Total Dissolved Solids (TDS), and Chloride</w:t>
      </w:r>
      <w:r>
        <w:t xml:space="preserve">: The Electrical conductivity at the two (2) sampling locations ranges from 7321µs/cm and 5348µs/cm with an average value of 6334.5µs/cm. The EC of the water for the control samples is 7220 µs/cm. The EC concentration values are influenced by the TDS and Chloride which had mean 948.5mg/l and 2736mg/l respectively. For all the sampling locations, the concentration of analysed parameters were relatively high, though mostly below the values recorded at the control which shows that the water is marine.</w:t>
      </w:r>
      <w:r>
        <w:t xml:space="preserve"> </w:t>
      </w:r>
      <w:r>
        <w:t xml:space="preserve">*</w:t>
      </w:r>
      <w:r>
        <w:t xml:space="preserve"> </w:t>
      </w:r>
      <w:r>
        <w:rPr>
          <w:b/>
          <w:bCs/>
        </w:rPr>
        <w:t xml:space="preserve">Turbidity and Total Suspended Solids (TSS)</w:t>
      </w:r>
      <w:r>
        <w:t xml:space="preserve">: Turbidity were 5.85NTU in sampling location 1 and 5.70NTU in sampling location 2, with an average value of 5.78. For the control area, turbidity was 5.90NTU. Meanwhile Total Suspended Solids (TSS) ranged from 33.5- 67.8 with mean of 50.6 for the dry season sampling.</w:t>
      </w:r>
      <w:r>
        <w:t xml:space="preserve"> </w:t>
      </w:r>
      <w:r>
        <w:t xml:space="preserve">*</w:t>
      </w:r>
      <w:r>
        <w:t xml:space="preserve"> </w:t>
      </w:r>
      <w:r>
        <w:rPr>
          <w:b/>
          <w:bCs/>
        </w:rPr>
        <w:t xml:space="preserve">Total Hydrocarbon</w:t>
      </w:r>
      <w:r>
        <w:t xml:space="preserve">: The THC for both sampling points were respectively 7.0mg/l and 9.0mg/l with an average value of 8.0mg/l. This is slightly lower than the value obtained at the control sampling point where a value of 9.0mg/l was recorded. The mean value obtained is lower than the regulatory limit of 10mg/l.</w:t>
      </w:r>
      <w:r>
        <w:t xml:space="preserve"> </w:t>
      </w:r>
      <w:r>
        <w:t xml:space="preserve">*</w:t>
      </w:r>
      <w:r>
        <w:t xml:space="preserve"> </w:t>
      </w:r>
      <w:r>
        <w:rPr>
          <w:b/>
          <w:bCs/>
        </w:rPr>
        <w:t xml:space="preserve">Alkalinity and Bicarbonate</w:t>
      </w:r>
      <w:r>
        <w:t xml:space="preserve">: Alkalinity had a mean concentration of 44.25 mg/l which is relatively lower than the value obtained in the control area. This is within the regulatory limit of 30-400mg/l for water body.</w:t>
      </w:r>
      <w:r>
        <w:t xml:space="preserve"> </w:t>
      </w:r>
      <w:r>
        <w:t xml:space="preserve">*</w:t>
      </w:r>
      <w:r>
        <w:t xml:space="preserve"> </w:t>
      </w:r>
      <w:r>
        <w:rPr>
          <w:b/>
          <w:bCs/>
        </w:rPr>
        <w:t xml:space="preserve">Heavy Metal Concentration</w:t>
      </w:r>
      <w:r>
        <w:t xml:space="preserve">: The heavy metal concentrations of surface waters in the study area shows that the concentration were slightly above limits of the Nigerian Guidelines for aquatic life (FEPA, 1991) and levels known to harm biota. Iron ranged from 12.82 - 15.36ppm with mean of 14.09ppm similar values were observed for other metals except lead, mercury and vanadium which were lower than the stipulated limits in all locations.</w:t>
      </w:r>
      <w:r>
        <w:t xml:space="preserve"> </w:t>
      </w:r>
      <w:r>
        <w:t xml:space="preserve">*</w:t>
      </w:r>
      <w:r>
        <w:t xml:space="preserve"> </w:t>
      </w:r>
      <w:r>
        <w:rPr>
          <w:b/>
          <w:bCs/>
        </w:rPr>
        <w:t xml:space="preserve">Chemical Oxygen Demand</w:t>
      </w:r>
      <w:r>
        <w:t xml:space="preserve">: Chemical Oxygen Demand (COD) ranged from 6.74- 8.30mg/l with a mean of 7.52mg/l. This value is slightly lower than the one obtained in the control area.</w:t>
      </w:r>
      <w:r>
        <w:t xml:space="preserve"> </w:t>
      </w:r>
      <w:r>
        <w:t xml:space="preserve">*</w:t>
      </w:r>
      <w:r>
        <w:t xml:space="preserve"> </w:t>
      </w:r>
      <w:r>
        <w:rPr>
          <w:b/>
          <w:bCs/>
        </w:rPr>
        <w:t xml:space="preserve">Dissolved Oxygen and Biochemical Oxygen Demand</w:t>
      </w:r>
      <w:r>
        <w:t xml:space="preserve">: Dissolved Oxygen (DO) ranged from 4.51-4.22mg/l with mean concentration of 4.37 which is slightly higher than the results recorded for control location (4.25mg/l). Meanwhile, the Biochemical Oxygen Demand (BOD) for the dry season ranged from 13.3-24.6mg/l and has a mean concentration of 18.95mg/l. The BOD of samples at the control area is 10.0mg/l. The higher BOD recorded at the proposed project sampled location is attributable to the fecal matters around the proposed project site which are occasionally washed into the water body thereby bringing about eutrophication in the water body.</w:t>
      </w:r>
    </w:p>
    <w:p>
      <w:pPr>
        <w:pStyle w:val="BodyText"/>
      </w:pPr>
      <w:r>
        <w:rPr>
          <w:b/>
          <w:bCs/>
        </w:rPr>
        <w:t xml:space="preserve">Soil Quality Parameter</w:t>
      </w:r>
    </w:p>
    <w:p>
      <w:pPr>
        <w:pStyle w:val="BodyText"/>
      </w:pPr>
      <w:r>
        <w:rPr>
          <w:b/>
          <w:bCs/>
        </w:rPr>
        <w:t xml:space="preserve">Table 4.19: Result of Soil Sample Analysis (SQ1)</w:t>
      </w:r>
      <w:r>
        <w:t xml:space="preserve"> </w:t>
      </w:r>
      <w:r>
        <w:t xml:space="preserve">(This table was referenced but not provided in the text of Chapter 4.)</w:t>
      </w:r>
    </w:p>
    <w:p>
      <w:pPr>
        <w:pStyle w:val="BodyText"/>
      </w:pPr>
      <w:r>
        <w:rPr>
          <w:b/>
          <w:bCs/>
        </w:rPr>
        <w:t xml:space="preserve">Table 4.20: Result of Soil Sample Analysis (SQ2)</w:t>
      </w:r>
      <w:r>
        <w:t xml:space="preserve"> </w:t>
      </w:r>
      <w:r>
        <w:t xml:space="preserve">(This table was referenced but not provided in the text of Chapter 4.)</w:t>
      </w:r>
    </w:p>
    <w:p>
      <w:pPr>
        <w:pStyle w:val="BodyText"/>
      </w:pPr>
      <w:r>
        <w:rPr>
          <w:b/>
          <w:bCs/>
        </w:rPr>
        <w:t xml:space="preserve">Table 4.21: Result of Soil Sample Analysis (SQ3)</w:t>
      </w:r>
      <w:r>
        <w:t xml:space="preserve"> </w:t>
      </w:r>
      <w:r>
        <w:t xml:space="preserve">| Parameter | Red Hot Sediment | Soil 1 | Top Soil 2 | Sub Soil 2 |</w:t>
      </w:r>
      <w:r>
        <w:t xml:space="preserve"> </w:t>
      </w:r>
      <w:r>
        <w:t xml:space="preserve">| :— | :— | :— | :— | :— |</w:t>
      </w:r>
      <w:r>
        <w:t xml:space="preserve"> </w:t>
      </w:r>
      <w:r>
        <w:t xml:space="preserve">| pH | 7.3 | 6.9 | 6.1 | 6.3 |</w:t>
      </w:r>
      <w:r>
        <w:t xml:space="preserve"> </w:t>
      </w:r>
      <w:r>
        <w:t xml:space="preserve">| TOC | 7.91 | 3.10 | 4.31 | 8.00 |</w:t>
      </w:r>
      <w:r>
        <w:t xml:space="preserve"> </w:t>
      </w:r>
      <w:r>
        <w:t xml:space="preserve">| NO3 (mg/kg) | 2.55 | 0.71 | 1.41 | 2.27 |</w:t>
      </w:r>
      <w:r>
        <w:t xml:space="preserve"> </w:t>
      </w:r>
      <w:r>
        <w:t xml:space="preserve">| PO3 (mg/kg) | 0.31 | 0.11 | 0.32 | 0.41 |</w:t>
      </w:r>
      <w:r>
        <w:t xml:space="preserve"> </w:t>
      </w:r>
      <w:r>
        <w:t xml:space="preserve">| SO4 (mg/kg) | 2.0 | 2.0 | 4.0 | 1.0 |</w:t>
      </w:r>
      <w:r>
        <w:t xml:space="preserve"> </w:t>
      </w:r>
      <w:r>
        <w:t xml:space="preserve">| THC (mg/kg) | ND | ND | ND | ND |</w:t>
      </w:r>
      <w:r>
        <w:t xml:space="preserve"> </w:t>
      </w:r>
      <w:r>
        <w:t xml:space="preserve">| O&amp;G (mg/kg) | 0.33 | 0.12 | 0.14 | 0.28 |</w:t>
      </w:r>
      <w:r>
        <w:t xml:space="preserve"> </w:t>
      </w:r>
      <w:r>
        <w:t xml:space="preserve">| CN- (mg/kg) | ND | ND | ND | ND |</w:t>
      </w:r>
      <w:r>
        <w:t xml:space="preserve"> </w:t>
      </w:r>
      <w:r>
        <w:t xml:space="preserve">| Phenols (mg/kg) | ND | ND | ND | ND |</w:t>
      </w:r>
      <w:r>
        <w:t xml:space="preserve"> </w:t>
      </w:r>
      <w:r>
        <w:t xml:space="preserve">| Cond | 110.9 | 90.2 | 86.3 | 112.9 |</w:t>
      </w:r>
      <w:r>
        <w:t xml:space="preserve"> </w:t>
      </w:r>
      <w:r>
        <w:t xml:space="preserve">| Red Hot | 35.4 | 38.0 | 33.4 | 34.6 |</w:t>
      </w:r>
      <w:r>
        <w:t xml:space="preserve"> </w:t>
      </w:r>
      <w:r>
        <w:rPr>
          <w:i/>
          <w:iCs/>
        </w:rPr>
        <w:t xml:space="preserve">Source: GEECL Fieldwork February, 2023</w:t>
      </w:r>
    </w:p>
    <w:p>
      <w:pPr>
        <w:pStyle w:val="BodyText"/>
      </w:pPr>
      <w:r>
        <w:rPr>
          <w:b/>
          <w:bCs/>
        </w:rPr>
        <w:t xml:space="preserve">Table 4.22: Result of soil sample determination in the Project Area (SQ Control)</w:t>
      </w:r>
      <w:r>
        <w:t xml:space="preserve"> </w:t>
      </w:r>
      <w:r>
        <w:t xml:space="preserve">| Sample | pH | TOC | NO3 (mg/kg) | PO3 (mg/kg) | SO4 (mg/kg) | THC (mg/kg) | O&amp;G (mg/kg) | CN- (mg/kg) | Phenols (mg/kg) | Cond | Red Hot |</w:t>
      </w:r>
      <w:r>
        <w:t xml:space="preserve"> </w:t>
      </w:r>
      <w:r>
        <w:t xml:space="preserve">| :— | :- | :– | :— | :— | :— | :— | :— | :— | :— | :– | :– |</w:t>
      </w:r>
      <w:r>
        <w:t xml:space="preserve"> </w:t>
      </w:r>
      <w:r>
        <w:t xml:space="preserve">| Sediment | 6.7 | 7.89 | 2.49 | 0.32 | 4.0 | ND | 0.31 | ND | ND | 110.1 | 34.4 |</w:t>
      </w:r>
      <w:r>
        <w:t xml:space="preserve"> </w:t>
      </w:r>
      <w:r>
        <w:t xml:space="preserve">| Top Soil 1 | 7.3 | 3.12 | 0.71 | 0.13 | 4.0 | ND | 0.16 | ND | ND | 88.4 | 35.9 |</w:t>
      </w:r>
      <w:r>
        <w:t xml:space="preserve"> </w:t>
      </w:r>
      <w:r>
        <w:t xml:space="preserve">| Sub Soil 1 | 6.9 | 3.81 | 1.41 | 0.35 | 2.0 | ND | 0.18 | ND | ND | 81.5 | 37.3 |</w:t>
      </w:r>
      <w:r>
        <w:t xml:space="preserve"> </w:t>
      </w:r>
      <w:r>
        <w:t xml:space="preserve">| Top Soil 2 | 6.7 | 8.25 | 1.21 | 0.44 | 2.0 | ND | 0.12 | ND | ND | 110.3 | 34.6 |</w:t>
      </w:r>
      <w:r>
        <w:t xml:space="preserve"> </w:t>
      </w:r>
      <w:r>
        <w:t xml:space="preserve">| Sub Soil 2 | 7.3 | 8.33 | 2.00 | 0.31 | 2.0 | ND | - | ND | ND | 110.1 | 35.5 |</w:t>
      </w:r>
      <w:r>
        <w:t xml:space="preserve"> </w:t>
      </w:r>
      <w:r>
        <w:rPr>
          <w:i/>
          <w:iCs/>
        </w:rPr>
        <w:t xml:space="preserve">Source: GEECL Fieldwork February, 2023</w:t>
      </w:r>
    </w:p>
    <w:p>
      <w:pPr>
        <w:pStyle w:val="BodyText"/>
      </w:pPr>
      <w:r>
        <w:rPr>
          <w:b/>
          <w:bCs/>
        </w:rPr>
        <w:t xml:space="preserve">Table 4.23: Result of heavy metals concentration in soil in the Project Area (SQ1)</w:t>
      </w:r>
      <w:r>
        <w:t xml:space="preserve"> </w:t>
      </w:r>
      <w:r>
        <w:t xml:space="preserve">| Sample | Ba | Cd | Cu | Fe | Mn | Ni | Pb | V | Zn |</w:t>
      </w:r>
      <w:r>
        <w:t xml:space="preserve"> </w:t>
      </w:r>
      <w:r>
        <w:t xml:space="preserve">| :— | :– | :– | :– | :– | :– | :- | :– | :- | :– |</w:t>
      </w:r>
      <w:r>
        <w:t xml:space="preserve"> </w:t>
      </w:r>
      <w:r>
        <w:t xml:space="preserve">| Sediment | 0.031 | 2.04 | 0.66 | 1.54 | -0.45 | ND | 0.011 | ND | 1.21 |</w:t>
      </w:r>
      <w:r>
        <w:t xml:space="preserve"> </w:t>
      </w:r>
      <w:r>
        <w:t xml:space="preserve">| Top Soil | 0.003 | 0.54 | 0.36 | 0.79 | 0.19 | ND | 0.007 | ND | 1.39 |</w:t>
      </w:r>
      <w:r>
        <w:t xml:space="preserve"> </w:t>
      </w:r>
      <w:r>
        <w:t xml:space="preserve">| Sub Soil | 0.005 | 1.41 | 0.34 | 0.12 | 0.15 | ND | 0.007 | ND | 1.69 |</w:t>
      </w:r>
      <w:r>
        <w:t xml:space="preserve"> </w:t>
      </w:r>
      <w:r>
        <w:t xml:space="preserve">| Top Soil | 0.007 | 2.20 | 0.76 | 1.68 | 0.63 | ND | 0.036 | ND | 3.05 |</w:t>
      </w:r>
      <w:r>
        <w:t xml:space="preserve"> </w:t>
      </w:r>
      <w:r>
        <w:t xml:space="preserve">| Sub Soil | 0.009 | 2.03 | 0.60 | 1.59 | 0.60 | ND | 0.035 | ND | 3.20 |</w:t>
      </w:r>
      <w:r>
        <w:t xml:space="preserve"> </w:t>
      </w:r>
      <w:r>
        <w:rPr>
          <w:i/>
          <w:iCs/>
        </w:rPr>
        <w:t xml:space="preserve">Source: GEECL Fieldwork February, 2023 ND: NOT DETECTED</w:t>
      </w:r>
    </w:p>
    <w:p>
      <w:pPr>
        <w:pStyle w:val="BodyText"/>
      </w:pPr>
      <w:r>
        <w:rPr>
          <w:b/>
          <w:bCs/>
        </w:rPr>
        <w:t xml:space="preserve">Table 4.24: Result of heavy metals concentration in soil (SQ2)</w:t>
      </w:r>
      <w:r>
        <w:t xml:space="preserve"> </w:t>
      </w:r>
      <w:r>
        <w:t xml:space="preserve">| Sample | Ba | Cd | Cu | Fe | Mn | Ni | Pb | V | Zn |</w:t>
      </w:r>
      <w:r>
        <w:t xml:space="preserve"> </w:t>
      </w:r>
      <w:r>
        <w:t xml:space="preserve">| :— | :– | :– | :– | :– | :– | :- | :– | :- | :– |</w:t>
      </w:r>
      <w:r>
        <w:t xml:space="preserve"> </w:t>
      </w:r>
      <w:r>
        <w:t xml:space="preserve">| Sediment | 0.031 | 1.91 | 0.68 | 1.51 | -0.40 | ND | 0.001 | ND | 1.00 |</w:t>
      </w:r>
      <w:r>
        <w:t xml:space="preserve"> </w:t>
      </w:r>
      <w:r>
        <w:t xml:space="preserve">| Top Soil | 0.002 | 0.61 | 0.34 | 0.77 | 0.10 | ND | ND | ND | 0.24 |</w:t>
      </w:r>
      <w:r>
        <w:t xml:space="preserve"> </w:t>
      </w:r>
      <w:r>
        <w:t xml:space="preserve">| Sub Soil | 0.004 | 1.42 | 0.28 | 0.11 | 0.24 | ND | 0.001 | ND | 1.01 |</w:t>
      </w:r>
      <w:r>
        <w:t xml:space="preserve"> </w:t>
      </w:r>
      <w:r>
        <w:t xml:space="preserve">| Top Soil | 0.006 | 2.47 | 0.57 | 1.51 | 0.62 | ND | 0.001 | ND | 2.03 |</w:t>
      </w:r>
      <w:r>
        <w:t xml:space="preserve"> </w:t>
      </w:r>
      <w:r>
        <w:t xml:space="preserve">| Sub Soil | 0.007 | 2.01 | 0.62 | 1.63 | 0.66 | ND | 0.002 | ND | 2.90 |</w:t>
      </w:r>
      <w:r>
        <w:t xml:space="preserve"> </w:t>
      </w:r>
      <w:r>
        <w:rPr>
          <w:i/>
          <w:iCs/>
        </w:rPr>
        <w:t xml:space="preserve">Source: GEECL Fieldwork February, 2023 ND: Not Detected</w:t>
      </w:r>
    </w:p>
    <w:p>
      <w:pPr>
        <w:pStyle w:val="BodyText"/>
      </w:pPr>
      <w:r>
        <w:rPr>
          <w:b/>
          <w:bCs/>
        </w:rPr>
        <w:t xml:space="preserve">Table 4.25: Result of heavy metals concentration in soil (SQ3)</w:t>
      </w:r>
      <w:r>
        <w:t xml:space="preserve"> </w:t>
      </w:r>
      <w:r>
        <w:t xml:space="preserve">| Sample | Ba | Cd | Cu | Fe | Mn | Ni | Pb | V | Zn |</w:t>
      </w:r>
      <w:r>
        <w:t xml:space="preserve"> </w:t>
      </w:r>
      <w:r>
        <w:t xml:space="preserve">| :— | :– | :– | :– | :– | :– | :- | :– | :- | :– |</w:t>
      </w:r>
      <w:r>
        <w:t xml:space="preserve"> </w:t>
      </w:r>
      <w:r>
        <w:t xml:space="preserve">| Sediment | 0.033 | 2.01 | 0.59 | 1.57 | 0.45 | ND | 0.010 | ND | 1.01 |</w:t>
      </w:r>
      <w:r>
        <w:t xml:space="preserve"> </w:t>
      </w:r>
      <w:r>
        <w:t xml:space="preserve">| Top Soil | 0.002 | 0.54 | 0.30 | 0.71 | 0.18 | ND | 0.002 | ND | 1.00 |</w:t>
      </w:r>
      <w:r>
        <w:t xml:space="preserve"> </w:t>
      </w:r>
      <w:r>
        <w:t xml:space="preserve">| Sub Soil | 0.006 | 1.20 | 0.37 | 0.21 | 0.14 | ND | 0.001 | ND | 1.29 |</w:t>
      </w:r>
      <w:r>
        <w:t xml:space="preserve"> </w:t>
      </w:r>
      <w:r>
        <w:t xml:space="preserve">| Top Soil | 0.001 | 2.00 | 0.78 | 1.67 | 0.67 | ND | 0.003 | ND | 2.51 |</w:t>
      </w:r>
      <w:r>
        <w:t xml:space="preserve"> </w:t>
      </w:r>
      <w:r>
        <w:t xml:space="preserve">| Sub Soil | 0.001 | 1.03 | 0.61 | 1.48 | 0.61 | ND | 0.027 | ND | 3.02 |</w:t>
      </w:r>
      <w:r>
        <w:t xml:space="preserve"> </w:t>
      </w:r>
      <w:r>
        <w:rPr>
          <w:i/>
          <w:iCs/>
        </w:rPr>
        <w:t xml:space="preserve">Source: GEECL fieldwork February 2023 ND: Not Detected</w:t>
      </w:r>
    </w:p>
    <w:p>
      <w:pPr>
        <w:pStyle w:val="BodyText"/>
      </w:pPr>
      <w:r>
        <w:rPr>
          <w:b/>
          <w:bCs/>
        </w:rPr>
        <w:t xml:space="preserve">Table 4.26: Result of heavy metals concentration in soil during wet season (SQ Control)</w:t>
      </w:r>
      <w:r>
        <w:t xml:space="preserve"> </w:t>
      </w:r>
      <w:r>
        <w:t xml:space="preserve">| Sample | Ba | Cd | Cu | Fe | Mn | Ni | Pb | V | Zn |</w:t>
      </w:r>
      <w:r>
        <w:t xml:space="preserve"> </w:t>
      </w:r>
      <w:r>
        <w:t xml:space="preserve">| :— | :– | :– | :– | :– | :– | :- | :– | :- | :– |</w:t>
      </w:r>
      <w:r>
        <w:t xml:space="preserve"> </w:t>
      </w:r>
      <w:r>
        <w:t xml:space="preserve">| Sediment | 0.033 | 1.01 | 0.67 | 1.56 | 0.39 | ND | 0.001 | ND | 1.29 |</w:t>
      </w:r>
      <w:r>
        <w:t xml:space="preserve"> </w:t>
      </w:r>
      <w:r>
        <w:t xml:space="preserve">| Top Soil | 0.001 | 0.43 | 0.31 | 0.79 | 0.16 | ND | 0.001 | ND | 1.24 |</w:t>
      </w:r>
      <w:r>
        <w:t xml:space="preserve"> </w:t>
      </w:r>
      <w:r>
        <w:t xml:space="preserve">| Sub Soil | 0.004 | 1.44 | 0.33 | 0.26 | 0.17 | ND | 0.001 | ND | 1.67 |</w:t>
      </w:r>
      <w:r>
        <w:t xml:space="preserve"> </w:t>
      </w:r>
      <w:r>
        <w:t xml:space="preserve">| Top Soil | 0.009 | 2.22 | 0.75 | 1.54 | 0.59 | ND | 0.021 | ND | 3.01 |</w:t>
      </w:r>
      <w:r>
        <w:t xml:space="preserve"> </w:t>
      </w:r>
      <w:r>
        <w:t xml:space="preserve">| Sub Soil | 0.001 | 2.05 | 0.61 | 1.61 | 0.57 | ND | 0.001 | ND | 2.90 |</w:t>
      </w:r>
      <w:r>
        <w:t xml:space="preserve"> </w:t>
      </w:r>
      <w:r>
        <w:rPr>
          <w:i/>
          <w:iCs/>
        </w:rPr>
        <w:t xml:space="preserve">Source: GEECL fieldwork February 2023 ND: Not Detected</w:t>
      </w:r>
    </w:p>
    <w:p>
      <w:pPr>
        <w:pStyle w:val="BodyText"/>
      </w:pPr>
      <w:r>
        <w:t xml:space="preserve">The heavy metals concentration of top and sub-soil samples are shown in Table 4.22-4.25. The recorded concentration of cadmium in top soil ranged from 0.43mg/kg- to 2.47 mg/kg in all the sampling locations with the highest values recorded in SQ2 location while in sub- soil, the values ranged from 1.03 mg/kg to 2.05 mg/kg with least recorded at (SQ3) and maximum control points (SQ Control). Nickel and vanadium were not detected in any of the samples at all the study stations. Generally, the metal concentrations observed in the samples were lower than concentrations reported by Olukami and Adeoye, 2012 in soil and also lower than the reported natural background levels in soil by Robert and Grenato, 2000. Nevertheless, the presence of the metals could lead to the possibility of surface water pollution especially through overland flow and/or by sub-surface water flow by percolation through the well-drained sandy soil of the study area during rainfall.</w:t>
      </w:r>
    </w:p>
    <w:p>
      <w:pPr>
        <w:pStyle w:val="BodyText"/>
      </w:pPr>
      <w:r>
        <w:rPr>
          <w:b/>
          <w:bCs/>
        </w:rPr>
        <w:t xml:space="preserve">Table 4.27: Comparison of Mean Concentration of Heavy Metals in Soils of the Study with Natural Background Levels</w:t>
      </w:r>
      <w:r>
        <w:t xml:space="preserve"> </w:t>
      </w:r>
      <w:r>
        <w:t xml:space="preserve">| Metals | Measured Value | Natural Background Levels (mg/kg) (Robert and Grenato, 2000) |</w:t>
      </w:r>
      <w:r>
        <w:t xml:space="preserve"> </w:t>
      </w:r>
      <w:r>
        <w:t xml:space="preserve">| :— | :— | :— |</w:t>
      </w:r>
      <w:r>
        <w:t xml:space="preserve"> </w:t>
      </w:r>
      <w:r>
        <w:t xml:space="preserve">| Cd | 0.001 | NA |</w:t>
      </w:r>
      <w:r>
        <w:t xml:space="preserve"> </w:t>
      </w:r>
      <w:r>
        <w:t xml:space="preserve">| Cr | 2.26 ±1.31 | 5.4x10^1 |</w:t>
      </w:r>
      <w:r>
        <w:t xml:space="preserve"> </w:t>
      </w:r>
      <w:r>
        <w:t xml:space="preserve">| Cu | 2.49 ±10.51 | 2.5x10^1 |</w:t>
      </w:r>
      <w:r>
        <w:t xml:space="preserve"> </w:t>
      </w:r>
      <w:r>
        <w:t xml:space="preserve">| Fe | 166 ±21 | 2.6x10^4 |</w:t>
      </w:r>
      <w:r>
        <w:t xml:space="preserve"> </w:t>
      </w:r>
      <w:r>
        <w:t xml:space="preserve">| Mn | 15.60 ± 7.11 | 5.5x10^2 |</w:t>
      </w:r>
      <w:r>
        <w:t xml:space="preserve"> </w:t>
      </w:r>
      <w:r>
        <w:t xml:space="preserve">| Ni | 1.70 ±0.69 | 1.9x10^1 |</w:t>
      </w:r>
      <w:r>
        <w:t xml:space="preserve"> </w:t>
      </w:r>
      <w:r>
        <w:t xml:space="preserve">| Pb | 25.63 ±23.09 | 1.9x10^1 |</w:t>
      </w:r>
      <w:r>
        <w:t xml:space="preserve"> </w:t>
      </w:r>
      <w:r>
        <w:t xml:space="preserve">| Zn | 7.66 ±2.36 | 6.0x10^1 |</w:t>
      </w:r>
    </w:p>
    <w:p>
      <w:pPr>
        <w:pStyle w:val="BodyText"/>
      </w:pPr>
      <w:r>
        <w:t xml:space="preserve">While the possibility that some of the soil in the study-area may not be indigenous to the community due to its highly built up status and impact of past reclamation, the chemical analyses carried out on the samples as reported mostly hint at a homogenous soil type at all the sampled Stations including the Control Station. Although, the observed physico-chemical properties and heavy metal concentrations at the proposed site showed little evidence of degenerating anthropogenic influence, nevertheless the presence of some pollution indicating parameters, such as TPH and heavy metals, which have potential for bioaccumulation, demands that mitigation measures are put in place to arrest any further build up. By and large, most of the soil properties’ concentrations and levels of metals analysed at study stations one (1) to four (4) were not significantly different from one another.</w:t>
      </w:r>
    </w:p>
    <w:p>
      <w:pPr>
        <w:pStyle w:val="BodyText"/>
      </w:pPr>
      <w:r>
        <w:rPr>
          <w:b/>
          <w:bCs/>
        </w:rPr>
        <w:t xml:space="preserve">Ground Water Quality Parameter</w:t>
      </w:r>
    </w:p>
    <w:p>
      <w:pPr>
        <w:pStyle w:val="BodyText"/>
      </w:pPr>
      <w:r>
        <w:rPr>
          <w:b/>
          <w:bCs/>
        </w:rPr>
        <w:t xml:space="preserve">Table 4.28: Result of Groundwater Analysis</w:t>
      </w:r>
      <w:r>
        <w:t xml:space="preserve"> </w:t>
      </w:r>
      <w:r>
        <w:t xml:space="preserve">| PARAMETERS | METHOD | LIMIT FOR DRINKING WATER | GW-1 | GW-2 | GW-3 | GW-4 |</w:t>
      </w:r>
      <w:r>
        <w:t xml:space="preserve"> </w:t>
      </w:r>
      <w:r>
        <w:t xml:space="preserve">| :— | :— | :— | :— | :— | :— | :— |</w:t>
      </w:r>
      <w:r>
        <w:t xml:space="preserve"> </w:t>
      </w:r>
      <w:r>
        <w:t xml:space="preserve">| | |</w:t>
      </w:r>
      <w:r>
        <w:t xml:space="preserve"> </w:t>
      </w:r>
      <w:r>
        <w:rPr>
          <w:b/>
          <w:bCs/>
        </w:rPr>
        <w:t xml:space="preserve">WHO</w:t>
      </w:r>
      <w:r>
        <w:t xml:space="preserve"> </w:t>
      </w:r>
      <w:r>
        <w:t xml:space="preserve">|</w:t>
      </w:r>
      <w:r>
        <w:t xml:space="preserve"> </w:t>
      </w:r>
      <w:r>
        <w:rPr>
          <w:b/>
          <w:bCs/>
        </w:rPr>
        <w:t xml:space="preserve">NIS</w:t>
      </w:r>
      <w:r>
        <w:t xml:space="preserve"> </w:t>
      </w:r>
      <w:r>
        <w:t xml:space="preserve">|</w:t>
      </w:r>
      <w:r>
        <w:t xml:space="preserve"> </w:t>
      </w:r>
      <w:r>
        <w:rPr>
          <w:b/>
          <w:bCs/>
        </w:rPr>
        <w:t xml:space="preserve">Borehole 1</w:t>
      </w:r>
      <w:r>
        <w:t xml:space="preserve"> </w:t>
      </w:r>
      <w:r>
        <w:t xml:space="preserve">|</w:t>
      </w:r>
      <w:r>
        <w:t xml:space="preserve"> </w:t>
      </w:r>
      <w:r>
        <w:rPr>
          <w:b/>
          <w:bCs/>
        </w:rPr>
        <w:t xml:space="preserve">Borehole 2</w:t>
      </w:r>
      <w:r>
        <w:t xml:space="preserve"> </w:t>
      </w:r>
      <w:r>
        <w:t xml:space="preserve">|</w:t>
      </w:r>
      <w:r>
        <w:t xml:space="preserve"> </w:t>
      </w:r>
      <w:r>
        <w:rPr>
          <w:b/>
          <w:bCs/>
        </w:rPr>
        <w:t xml:space="preserve">Borehole 3</w:t>
      </w:r>
      <w:r>
        <w:t xml:space="preserve"> </w:t>
      </w:r>
      <w:r>
        <w:t xml:space="preserve">|</w:t>
      </w:r>
      <w:r>
        <w:t xml:space="preserve"> </w:t>
      </w:r>
      <w:r>
        <w:rPr>
          <w:b/>
          <w:bCs/>
        </w:rPr>
        <w:t xml:space="preserve">CONTROL</w:t>
      </w:r>
      <w:r>
        <w:t xml:space="preserve"> </w:t>
      </w:r>
      <w:r>
        <w:t xml:space="preserve">|</w:t>
      </w:r>
      <w:r>
        <w:t xml:space="preserve"> </w:t>
      </w:r>
      <w:r>
        <w:t xml:space="preserve">|</w:t>
      </w:r>
      <w:r>
        <w:t xml:space="preserve"> </w:t>
      </w:r>
      <w:r>
        <w:rPr>
          <w:b/>
          <w:bCs/>
        </w:rPr>
        <w:t xml:space="preserve">(A) PHYSICO-CHEMICAL TESTS:</w:t>
      </w:r>
      <w:r>
        <w:t xml:space="preserve"> </w:t>
      </w:r>
      <w:r>
        <w:t xml:space="preserve">| | | | | | | |</w:t>
      </w:r>
      <w:r>
        <w:t xml:space="preserve"> </w:t>
      </w:r>
      <w:r>
        <w:t xml:space="preserve">| Appearance | APHA 2110 | Clear &amp; Colourless | Unobjectionable | Colourless | Colourless | Colourless | Colourless |</w:t>
      </w:r>
      <w:r>
        <w:t xml:space="preserve"> </w:t>
      </w:r>
      <w:r>
        <w:t xml:space="preserve">| Colour (Absorption coefficient m-1) | ISO 7887 | Unobjectionable | 15 | 3 | 3 | 3 | 4 |</w:t>
      </w:r>
      <w:r>
        <w:t xml:space="preserve"> </w:t>
      </w:r>
      <w:r>
        <w:t xml:space="preserve">| Taste | - | Unobjectionable | - | - | - | - | - |</w:t>
      </w:r>
      <w:r>
        <w:t xml:space="preserve"> </w:t>
      </w:r>
      <w:r>
        <w:t xml:space="preserve">| pH | APHA 4500 H+B | 6.5-8.5 | 6.5-8.5 | 4.90 | 5.30 | 4.80 | 4.40 |</w:t>
      </w:r>
      <w:r>
        <w:t xml:space="preserve"> </w:t>
      </w:r>
      <w:r>
        <w:t xml:space="preserve">| Temperature (°C) | - | Ambient | Ambient | 27.2 | 26.8 | 26.9 | 27.1 |</w:t>
      </w:r>
      <w:r>
        <w:t xml:space="preserve"> </w:t>
      </w:r>
      <w:r>
        <w:t xml:space="preserve">| Conductivity (µS/cm) | APHA 2510B | 1000 | 1000 | 66 | 36 | 48 | 270 |</w:t>
      </w:r>
      <w:r>
        <w:t xml:space="preserve"> </w:t>
      </w:r>
      <w:r>
        <w:t xml:space="preserve">| Odour | APHA 2150A | Odourless | Unobjectionable | Odourless | Odourless | Odourless | Odourless |</w:t>
      </w:r>
      <w:r>
        <w:t xml:space="preserve"> </w:t>
      </w:r>
      <w:r>
        <w:t xml:space="preserve">| Total Hardness (CaCO3), mg/l | APHA 2340C | 500 | 150 | 4.20 | 2.50 | 10.25 | 21.60 |</w:t>
      </w:r>
      <w:r>
        <w:t xml:space="preserve"> </w:t>
      </w:r>
      <w:r>
        <w:t xml:space="preserve">| Alkalinity (CaCO3), mg/l | APHA 2320B | a+ | NS | 12.0 | 15.0 | 11.0 | 10.0 |</w:t>
      </w:r>
      <w:r>
        <w:t xml:space="preserve"> </w:t>
      </w:r>
      <w:r>
        <w:t xml:space="preserve">| Acidity (CaCO3), mg/l | APHA 2310B | a+ | NS | 80.0 | 74.0 | 82.0 | 92.0 |</w:t>
      </w:r>
      <w:r>
        <w:t xml:space="preserve"> </w:t>
      </w:r>
      <w:r>
        <w:t xml:space="preserve">| Calcium mg/l | APHA 3111B | 75 | NS | 3.09 | 1.95 | 8.75 | 19.85 |</w:t>
      </w:r>
      <w:r>
        <w:t xml:space="preserve"> </w:t>
      </w:r>
      <w:r>
        <w:t xml:space="preserve">| Magnesium mg/l | APHA 3111B | 50 | 0.2 | 0.85 | 0.20 | 1.02 | 1.55 |</w:t>
      </w:r>
      <w:r>
        <w:t xml:space="preserve"> </w:t>
      </w:r>
      <w:r>
        <w:t xml:space="preserve">| Nitrate (NO3-) mg/l | APHA 4500 B | 50 | 50 | 0.40 | 0.36 | 0.28 | 0.55 |</w:t>
      </w:r>
      <w:r>
        <w:t xml:space="preserve"> </w:t>
      </w:r>
      <w:r>
        <w:t xml:space="preserve">| Chloride (mg/l) | APHA 4500-CL B | 250 | 250 | 10.50 | 6.30 | 15.73 | 39.55 |</w:t>
      </w:r>
      <w:r>
        <w:t xml:space="preserve"> </w:t>
      </w:r>
      <w:r>
        <w:t xml:space="preserve">| Sulphate (as SO42-) mg/l | APHA 4500 SO42- E | 250 | 100 | 6.00 | 5.00 | 9.00 | 15.00 |</w:t>
      </w:r>
      <w:r>
        <w:t xml:space="preserve"> </w:t>
      </w:r>
      <w:r>
        <w:t xml:space="preserve">| Phosphate (as PO43-) mg/l | APHA 4500-P D | a+ | NS | &lt;0.01 | &lt;0.01 | 0.01 | 0.06 |</w:t>
      </w:r>
      <w:r>
        <w:t xml:space="preserve"> </w:t>
      </w:r>
      <w:r>
        <w:t xml:space="preserve">| Total Suspended Solids (TSS) mg/l | APHA 2540 | - | 500 | &lt;0.01 | &lt;0.01 | &lt;0.01 | &lt;0.01 |</w:t>
      </w:r>
      <w:r>
        <w:t xml:space="preserve"> </w:t>
      </w:r>
      <w:r>
        <w:t xml:space="preserve">| Total Dissolved Solids (TDS) mg/l | APHA 2540 | 600 | 500 | 33.0 | 18.0 | 24.0 | 135 |</w:t>
      </w:r>
      <w:r>
        <w:t xml:space="preserve"> </w:t>
      </w:r>
      <w:r>
        <w:t xml:space="preserve">| Free Chlorine mg/l | APHA 2540-CI G | 0.7 | 0.25 | &lt;0.01 | &lt;0.01 | &lt;0.01 | &lt;0.01 |</w:t>
      </w:r>
      <w:r>
        <w:t xml:space="preserve"> </w:t>
      </w:r>
      <w:r>
        <w:t xml:space="preserve">| Dissolved Oxygen (DO) mg/l | Electrometric Method | a+ | Not &lt;2 | 6.92 | 6.84 | 6.90 | 6.80 |</w:t>
      </w:r>
      <w:r>
        <w:t xml:space="preserve"> </w:t>
      </w:r>
      <w:r>
        <w:t xml:space="preserve">| Lead (Pb) mg/l | APHA 3111B | 0.01 | 0.01 | &lt;0.001 | &lt;0.001 | &lt;0.001 | &lt;0.001 |</w:t>
      </w:r>
      <w:r>
        <w:t xml:space="preserve"> </w:t>
      </w:r>
      <w:r>
        <w:t xml:space="preserve">| Copper (Cu) mg/l | APHA 3111B | 2.0 | 1.0 | &lt;0.001 | &lt;0.001 | &lt;0.001 | &lt;0.001 |</w:t>
      </w:r>
      <w:r>
        <w:t xml:space="preserve"> </w:t>
      </w:r>
      <w:r>
        <w:t xml:space="preserve">| Chromium (Cr) mg/l | APHA 3111B | 0.05 | 0.05 | &lt;0.001 | &lt;0.001 | &lt;0.001 | &lt;0.001 |</w:t>
      </w:r>
      <w:r>
        <w:t xml:space="preserve"> </w:t>
      </w:r>
      <w:r>
        <w:t xml:space="preserve">| Manganese mg/l | APHA 3111B | 0.4 | 0.05 | 0.002 | 0.003 | 0.002 | 0.009 |</w:t>
      </w:r>
      <w:r>
        <w:t xml:space="preserve"> </w:t>
      </w:r>
      <w:r>
        <w:t xml:space="preserve">| Iron (Fe) mg/l | APHA 3111B | 0.3 | 0.3 | 0.020 | 0.015 | 0.022 | 0.032 |</w:t>
      </w:r>
      <w:r>
        <w:t xml:space="preserve"> </w:t>
      </w:r>
      <w:r>
        <w:t xml:space="preserve">| Mercury (Hg) mg/l | APHA 3112B | 0.006 | 0.001 | &lt;0.001 | &lt;0.001 | &lt;0.001 | &lt;0.001 |</w:t>
      </w:r>
      <w:r>
        <w:t xml:space="preserve"> </w:t>
      </w:r>
      <w:r>
        <w:t xml:space="preserve">| Cadmium (mg/l) | APHA 3111B | 0.003 | 0.003 | &lt;0.001 | &lt;0.001 | &lt;0.001 | &lt;0.001 |</w:t>
      </w:r>
      <w:r>
        <w:t xml:space="preserve"> </w:t>
      </w:r>
      <w:r>
        <w:t xml:space="preserve">| Total Coliforms (MPN/100ml) | APHA 9215B | 0 | 10 | &lt;2 | &lt;2 | &lt;2 | 27 |</w:t>
      </w:r>
      <w:r>
        <w:t xml:space="preserve"> </w:t>
      </w:r>
      <w:r>
        <w:t xml:space="preserve">| Faecal Coliform (CFU/ml) | APHA 9221E | 0 | 0 | 0 | 0 | 0 | 0 |</w:t>
      </w:r>
      <w:r>
        <w:t xml:space="preserve"> </w:t>
      </w:r>
      <w:r>
        <w:t xml:space="preserve">| Salmonella sp (CFU/ml) | APHA 9260B | 0 | 0 | 0 | 0 | 0 | 0 |</w:t>
      </w:r>
      <w:r>
        <w:t xml:space="preserve"> </w:t>
      </w:r>
      <w:r>
        <w:t xml:space="preserve">| Shigella sp (CFU/ml) | APHA 9260E | 0 | 0 | 0 | 0 | 0 | 0 |</w:t>
      </w:r>
      <w:r>
        <w:t xml:space="preserve"> </w:t>
      </w:r>
      <w:r>
        <w:t xml:space="preserve">| Total Plate Count (CFU/ml) | APHA 9215B | 100 | - | 0 | 12 | 273 | 1711 |</w:t>
      </w:r>
      <w:r>
        <w:t xml:space="preserve"> </w:t>
      </w:r>
      <w:r>
        <w:rPr>
          <w:i/>
          <w:iCs/>
        </w:rPr>
        <w:t xml:space="preserve">Source: GEECL Fieldwork February, 2023</w:t>
      </w:r>
    </w:p>
    <w:p>
      <w:pPr>
        <w:pStyle w:val="BodyText"/>
      </w:pPr>
      <w:r>
        <w:rPr>
          <w:b/>
          <w:bCs/>
        </w:rPr>
        <w:t xml:space="preserve">Table 4.29: Statistical Analysis Result of the Ground Water Samples</w:t>
      </w:r>
      <w:r>
        <w:t xml:space="preserve"> </w:t>
      </w:r>
      <w:r>
        <w:t xml:space="preserve">(This table was present in the document but contained complex statistical outputs which are not typically reproduced in this format. It included count, sum, average, variance, and ANOVA results for all parameters listed in Table 4.28.)</w:t>
      </w:r>
    </w:p>
    <w:p>
      <w:pPr>
        <w:pStyle w:val="BodyText"/>
      </w:pPr>
      <w:r>
        <w:t xml:space="preserve">The results of the analysis of groundwater samples in Tables 4.28 and 4.29 showed that there were no Salmonella Sp, Shigella Sp, faecal Coliforms nor heavy metals contamination of the groundwater for the two seasons. The samples were odourless, clear and colourless but acidic both in dry and wet seasons. The conductivity of all the groundwater samples including control (GW1 -GW5) were within the WHO and NIS limits of 1000µS/cm. The results of heavy metals in the groundwater of the study locations are as shown in Table 4.28. The PTM analyzed include Cd, Cr, Cu, Fe, Mn, Ni, Pb and Zn. The presence of toxic metals in groundwater including when present above their natural or background levels could indicate contamination from anthropogenic influences or influences from the surrounding geologic formation of the soil. If present in high concentration in water, these metals pose health risks to living organisms including humans who consume the water. This could lead to debilitating diseases such acute skin cancer and various organ malfunctions. Concentrations of Pb, Cu, Ni, Cd and Cr were all below detection limit of &lt;0.001 mg/L. The observed concentrations of Fe in the groundwater at Station 1 at 0.31 mg/L was slightly higher than the recommended limit of 0.30 mg L-1 while those of station 2 at 0.06 mg/L was within range. Iron was not detected at Station 3 (GW3) at all.</w:t>
      </w:r>
    </w:p>
    <w:p>
      <w:pPr>
        <w:pStyle w:val="BodyText"/>
      </w:pPr>
      <w:r>
        <w:t xml:space="preserve">The observed Mn concentration was 0.48mg/L, 0.14mg/L and 0.02 mg/L at Station 1 (GW1), Station 2 (GW2) and Station 3 (GW3) respectively. The Mn level at Station 1 (GW1) was higher than the SON recommended limit. Other metals were all below the threshold prescribed by SON. Generally, the results indicate that the ground water sources have not been contaminated by heavy metals.</w:t>
      </w:r>
    </w:p>
    <w:p>
      <w:pPr>
        <w:pStyle w:val="BodyText"/>
      </w:pPr>
      <w:r>
        <w:rPr>
          <w:b/>
          <w:bCs/>
        </w:rPr>
        <w:t xml:space="preserve">Microbiology Parameter of Groundwater</w:t>
      </w:r>
    </w:p>
    <w:p>
      <w:pPr>
        <w:pStyle w:val="BodyText"/>
      </w:pPr>
      <w:r>
        <w:t xml:space="preserve">The results of the microbial analysis of the groundwater samples are as shown in Table 4.30. The total coliform counts were all below the SON threshold of 10. While the Total Plate Count were 3.0 x 10^1 cfu at Station 1 and 4.0 x 10^1 cfu at Station 3 respectively, the count at Station 2 was &lt; 2. Total coliform, faecal coliform and E. Coli were all less than 2 indicating that the groundwater resources have not been contaminated by microbes, most especially human fecal coliform.</w:t>
      </w:r>
    </w:p>
    <w:p>
      <w:pPr>
        <w:pStyle w:val="BodyText"/>
      </w:pPr>
      <w:r>
        <w:rPr>
          <w:b/>
          <w:bCs/>
        </w:rPr>
        <w:t xml:space="preserve">Table 4.30: Result of Microbiology Analysis of Groundwater Samples</w:t>
      </w:r>
      <w:r>
        <w:t xml:space="preserve"> </w:t>
      </w:r>
      <w:r>
        <w:t xml:space="preserve">| Microbiology | Station 1 (GW1) | Station 2 (GW2) | Station 3 (GW3) | Mean | Std. Dev. | SON Limit (NIS 554:2015) |</w:t>
      </w:r>
      <w:r>
        <w:t xml:space="preserve"> </w:t>
      </w:r>
      <w:r>
        <w:t xml:space="preserve">| :— | :— | :— | :— | :— | :— | :— |</w:t>
      </w:r>
      <w:r>
        <w:t xml:space="preserve"> </w:t>
      </w:r>
      <w:r>
        <w:t xml:space="preserve">| Total Plate Count (cfu/ml) | 3.0x10^1 | &lt;2 | 4.0x10^1 | 3.5x10^1 | 7.07 | - |</w:t>
      </w:r>
      <w:r>
        <w:t xml:space="preserve"> </w:t>
      </w:r>
      <w:r>
        <w:t xml:space="preserve">| Total Coliform count (cfu/ml) | &lt;2 | &lt;2 | &lt;2 | &lt;2 | - | 10 |</w:t>
      </w:r>
      <w:r>
        <w:t xml:space="preserve"> </w:t>
      </w:r>
      <w:r>
        <w:t xml:space="preserve">| Faecal Coliforms Count (cfu/ml) | &lt;2 | &lt;2 | &lt;2 | &lt;2 | - | Nil |</w:t>
      </w:r>
      <w:r>
        <w:t xml:space="preserve"> </w:t>
      </w:r>
      <w:r>
        <w:t xml:space="preserve">| E.Coli (cfu/ml) | &lt;2 | &lt;2 | &lt;2 | &lt;2 | - | Nil |</w:t>
      </w:r>
      <w:r>
        <w:t xml:space="preserve"> </w:t>
      </w:r>
      <w:r>
        <w:t xml:space="preserve">| Clostridium perfringens spore | &lt;2 | &lt;2 | &lt;2 | &lt;2 | - | Nil |</w:t>
      </w:r>
    </w:p>
    <w:p>
      <w:pPr>
        <w:pStyle w:val="BodyText"/>
      </w:pPr>
      <w:r>
        <w:rPr>
          <w:b/>
          <w:bCs/>
        </w:rPr>
        <w:t xml:space="preserve">4.12 Land Use Sensitivity</w:t>
      </w:r>
    </w:p>
    <w:p>
      <w:pPr>
        <w:pStyle w:val="BodyText"/>
      </w:pPr>
      <w:r>
        <w:t xml:space="preserve">Adequate and comprehensive data on the land uses of an area can only be acquired only if the data from the both the space, atmosphere and ground surfaces are integrated with those obtained from a number of other collateral sources. Based on the reconnaissance survey carried out in the project area, the land uses within the immediate vicinity of the project site is residential with few other uses like commercial and transportation. These developments among others include residential building, schools, shops, bus stops etc. The nature of the some of the building structures in the area is discussed in the later section of this chapter on existing social infrastructure of the project area.</w:t>
      </w:r>
    </w:p>
    <w:p>
      <w:pPr>
        <w:pStyle w:val="BodyText"/>
      </w:pPr>
      <w:r>
        <w:t xml:space="preserve">The proposed site is situated along the Lagos Lagoon and there are no sites of historical or cultural importance within the proposed site. Therefore, the project implementation shall have no impact on any archaeological or cultural heritage aspect of the environment. The immediate environment of the project site as presently constituted is a mixed land use development.</w:t>
      </w:r>
    </w:p>
    <w:p>
      <w:pPr>
        <w:pStyle w:val="BodyText"/>
      </w:pPr>
      <w:r>
        <w:rPr>
          <w:b/>
          <w:bCs/>
        </w:rPr>
        <w:t xml:space="preserve">Vegetation</w:t>
      </w:r>
    </w:p>
    <w:p>
      <w:pPr>
        <w:pStyle w:val="BodyText"/>
      </w:pPr>
      <w:r>
        <w:t xml:space="preserve">Vegetation of an area constitutes the totality of the plants in that area. Vegetation is one of the most important expression of the health of an environment as it optimizes climatic and edaphic conditions. Vegetation further reflects the level of human interference with nature and its state in many situation, reflects of human being, regulation of water quality and balance in soil and air; as well as playing a role in climate. Generally, vegetation performs several functions that are crucial to the sustenance of the environment. This includes:</w:t>
      </w:r>
      <w:r>
        <w:t xml:space="preserve"> </w:t>
      </w:r>
      <w:r>
        <w:t xml:space="preserve">* Protection of the fragile soils from the erosive impacts of rains and wind;</w:t>
      </w:r>
      <w:r>
        <w:t xml:space="preserve"> </w:t>
      </w:r>
      <w:r>
        <w:t xml:space="preserve">* Maintenance of soil fertility through continuous nutrient recycling;</w:t>
      </w:r>
      <w:r>
        <w:t xml:space="preserve"> </w:t>
      </w:r>
      <w:r>
        <w:t xml:space="preserve">* Conservation of water resources through shading;</w:t>
      </w:r>
      <w:r>
        <w:t xml:space="preserve"> </w:t>
      </w:r>
      <w:r>
        <w:t xml:space="preserve">* Preservation of water sheds;</w:t>
      </w:r>
      <w:r>
        <w:t xml:space="preserve"> </w:t>
      </w:r>
      <w:r>
        <w:t xml:space="preserve">* Regulation of air and soil temperature;</w:t>
      </w:r>
      <w:r>
        <w:t xml:space="preserve"> </w:t>
      </w:r>
      <w:r>
        <w:t xml:space="preserve">* Moisture balance;</w:t>
      </w:r>
      <w:r>
        <w:t xml:space="preserve"> </w:t>
      </w:r>
      <w:r>
        <w:t xml:space="preserve">* Provision of habitat for countless terrestrial flora and fauna;</w:t>
      </w:r>
      <w:r>
        <w:t xml:space="preserve"> </w:t>
      </w:r>
      <w:r>
        <w:t xml:space="preserve">* Purification of the environment through carbon dioxide during photosynthesis and the release of oxygen for human and animal respiration.</w:t>
      </w:r>
    </w:p>
    <w:p>
      <w:pPr>
        <w:pStyle w:val="BodyText"/>
      </w:pPr>
      <w:r>
        <w:t xml:space="preserve">Lagos is characterized by coastal environment (sandy barrier beaches, low-lying tidal flats, and estuaries) with three vegetation types (Mangrove, Secondary Rain Forest and Freshwater Swamp). The flora diversity of the project area and field collection and identification of plant species occurring within the study area was conducted. The occurrence of plant species based on the studied location were recorded. The collected plant species were identified by expert in plant taxonomy. The correct names of the identified species followed International Plant Name Index (IPNI). A comprehensive list of species was thereafter carefully documented, along with their families, habitats and local names by which they are known within the study area.</w:t>
      </w:r>
    </w:p>
    <w:p>
      <w:pPr>
        <w:pStyle w:val="BodyText"/>
      </w:pPr>
      <w:r>
        <w:t xml:space="preserve">Ethnobotanical information about the identified plant species was obtained through oral interviews. The interviews were conducted randomly with a total of eleven (11) local respondents including herb sellers, herbalists, elderly people and others with knowledge of herbal medicine. The consent of all the respondents was sought before the interviews. The interviews were held in local language and dialects such as Yoruba, Awori and Egun; hence, there was no need for interpreters and this allowed accurate data recording. The information collected included the local names, ethno botanical uses/the parts used, modes of preparation and administration of the identified plants. The proposed project site is along the Lagos Lagoon waterfront adjoined by highly built up areas therefore characterised by spare secondary vegetation.</w:t>
      </w:r>
    </w:p>
    <w:p>
      <w:pPr>
        <w:pStyle w:val="BodyText"/>
      </w:pPr>
      <w:r>
        <w:rPr>
          <w:b/>
          <w:bCs/>
        </w:rPr>
        <w:t xml:space="preserve">Table 4.31: Checklist of dominant plant species found on the proposed project site</w:t>
      </w:r>
      <w:r>
        <w:t xml:space="preserve"> </w:t>
      </w:r>
      <w:r>
        <w:t xml:space="preserve">| S/N | Plant species | Habitat | Density |</w:t>
      </w:r>
      <w:r>
        <w:t xml:space="preserve"> </w:t>
      </w:r>
      <w:r>
        <w:t xml:space="preserve">| :– | :— | :— | :— |</w:t>
      </w:r>
      <w:r>
        <w:t xml:space="preserve"> </w:t>
      </w:r>
      <w:r>
        <w:t xml:space="preserve">| 1 | Alchornea cordifolia | Shrub | Abundant |</w:t>
      </w:r>
      <w:r>
        <w:t xml:space="preserve"> </w:t>
      </w:r>
      <w:r>
        <w:t xml:space="preserve">| 2 | Avicennia germinans | Tree | Abundant |</w:t>
      </w:r>
      <w:r>
        <w:t xml:space="preserve"> </w:t>
      </w:r>
      <w:r>
        <w:t xml:space="preserve">| 3 | Cocos nucifera | Palm | Abundant |</w:t>
      </w:r>
      <w:r>
        <w:t xml:space="preserve"> </w:t>
      </w:r>
      <w:r>
        <w:t xml:space="preserve">| 4 | Chromolaena odorata | Herb | Abundant |</w:t>
      </w:r>
      <w:r>
        <w:t xml:space="preserve"> </w:t>
      </w:r>
      <w:r>
        <w:t xml:space="preserve">| 5 | Dryopteris filix-mas | Herb | Abundant |</w:t>
      </w:r>
      <w:r>
        <w:t xml:space="preserve"> </w:t>
      </w:r>
      <w:r>
        <w:t xml:space="preserve">| 6 | Elaeis guineensis | Palm | Abundant |</w:t>
      </w:r>
      <w:r>
        <w:t xml:space="preserve"> </w:t>
      </w:r>
      <w:r>
        <w:t xml:space="preserve">| 7 | Imperata cylindrica | Grass | Abundant |</w:t>
      </w:r>
      <w:r>
        <w:t xml:space="preserve"> </w:t>
      </w:r>
      <w:r>
        <w:t xml:space="preserve">| 8 | Paspalum vaginatum | Grass | Abundant |</w:t>
      </w:r>
      <w:r>
        <w:t xml:space="preserve"> </w:t>
      </w:r>
      <w:r>
        <w:t xml:space="preserve">| 9 | Raphia hookeri | Palm | Abundant |</w:t>
      </w:r>
      <w:r>
        <w:t xml:space="preserve"> </w:t>
      </w:r>
      <w:r>
        <w:t xml:space="preserve">| 10 | Rhizophora mangle | Tree | Abundant |</w:t>
      </w:r>
    </w:p>
    <w:p>
      <w:pPr>
        <w:pStyle w:val="BodyText"/>
      </w:pPr>
      <w:r>
        <w:t xml:space="preserve">Apart from the dominant plant species provided in Table 4.31, some economic plants were also found within the community. The various economic plants sighted were planted by member of local community for different uses.</w:t>
      </w:r>
    </w:p>
    <w:p>
      <w:pPr>
        <w:pStyle w:val="BodyText"/>
      </w:pPr>
      <w:r>
        <w:rPr>
          <w:b/>
          <w:bCs/>
        </w:rPr>
        <w:t xml:space="preserve">4.12.1 Wildlife and Endangered Species</w:t>
      </w:r>
    </w:p>
    <w:p>
      <w:pPr>
        <w:pStyle w:val="BodyText"/>
      </w:pPr>
      <w:r>
        <w:t xml:space="preserve">Interviews with the residents of the project area revealed that a process of progressive extinction of larger and valuable wildlife species has occurred for several decades. Most of the wildlife has been pushed further into more remote parts of the surrounding forest in the project area due to many of the anthropogenic activities which are largely connected to development. Nevertheless, field observations were carried out both within the proposed project site and other vegetation sampling locations to obtain information on the animal and wildlife resources within the study area. The well branched trees of the project site are habitats to avifauna species, crawling reptiles, arboreal primates, arthropods, molluscs and small animals. The wildlife species prevailing in the area for the wet season varied from invertebrates to large reptiles, birds, and small mammals. Generally, the invertebrate groups consist of several arthropod groups including butterflies, moths, dragon flies, water boatman, beetle, praying mantes, spiders, ants and termites. The mammalian groups include giant rats, gazelles, porcupines, ant eaters, bats.</w:t>
      </w:r>
    </w:p>
    <w:p>
      <w:pPr>
        <w:pStyle w:val="BodyText"/>
      </w:pPr>
      <w:r>
        <w:t xml:space="preserve">The rest of the animals moved for safety except the aquatic wetland birds that closely associated with water bodies due to their feeding, breeding, roosting behavior and other associated activities with aquatic environment. The common species of the wetland birds found are herons, waterfowl, fish eagle and daters, the majority of which are piscivorous.</w:t>
      </w:r>
    </w:p>
    <w:p>
      <w:pPr>
        <w:pStyle w:val="BodyText"/>
      </w:pPr>
      <w:r>
        <w:rPr>
          <w:b/>
          <w:bCs/>
        </w:rPr>
        <w:t xml:space="preserve">Wildlife Diversity</w:t>
      </w:r>
    </w:p>
    <w:p>
      <w:pPr>
        <w:pStyle w:val="BodyText"/>
      </w:pPr>
      <w:r>
        <w:t xml:space="preserve">From the results obtained, it was found that the area harbour an impressive array of mammalian species in spite of its highly perturbed nature. Information from local hunters obtained show a sharp drop in the number of game animals they were able to kill recently as compared to the past.</w:t>
      </w:r>
    </w:p>
    <w:p>
      <w:pPr>
        <w:pStyle w:val="BodyText"/>
      </w:pPr>
      <w:r>
        <w:t xml:space="preserve">The abundance of wildlife in the bush meat market during the study season was far lesser than what was observed in the past. This could be attributed to the fact that the flood reduced in the habitable space of most animals. Thus in the little space left, they clustered and became the more available for hunters to shoot unlike in the past, when the wetland is enormous, there is more space available for games, so the animals disperse far apart and therefore become less available for hunters.</w:t>
      </w:r>
    </w:p>
    <w:p>
      <w:pPr>
        <w:pStyle w:val="BodyText"/>
      </w:pPr>
      <w:r>
        <w:t xml:space="preserve">The terrestrial wildlife of the region consists of birds, reptiles, amphibians and invertebrates. They include the rodent (Rodentia), primates (Primates), Pangolins (Pholidota), Carnivores (Carnivora), insectivores (Insectivora) and ungulates (Artiodactyla). The rodents were the most dominant group, constituting about 50% of the total number of mammalian species recorded. Except for the Giant rats the rodents are small mammals and are very varied in pelage coloration and patterning. They are mostly terrestrial and live in burrows, being mostly nocturnal. Because of the large numbers they are neither threatened nor endangered but rather considered a pest to field crops and stored products. The reptiles were represented by chameleons, geckos, monitor lizards, agama lizards, snakes and skinks. Apart from the snakes most reptilian species are neither endangered nor threatened.</w:t>
      </w:r>
    </w:p>
    <w:p>
      <w:pPr>
        <w:pStyle w:val="BodyText"/>
      </w:pPr>
      <w:r>
        <w:t xml:space="preserve">Terrestrial and soil invertebrate fauna present were observed. The dense undergrowths and fertile soils harboured earthworms, millipedes, centipedes, spiders, mites and ticks, daddy longleg, woodlice, butterflies and moths, short horn and long horn grasshoppers, cockroaches, bees, aphids, longicorn and ground beetles, leaf and ladybird beetles, leaf hoppers, dragon and damsel flies, ants, midge, housefly, blowfly, mosquitoes, black fly, deer fly, mayfly, stick insect, caddisflies, bristleflies, crickets, mantids, various bugs, wasps, hornets, termites, snails and slugs.</w:t>
      </w:r>
    </w:p>
    <w:p>
      <w:pPr>
        <w:pStyle w:val="BodyText"/>
      </w:pPr>
      <w:r>
        <w:t xml:space="preserve">Whereas invertebrate species sighted in all the entire zones were very many and similar, wildlife species sighted, especially snakes and mammals, were relatively very few because they move away by disturbance from human activities.</w:t>
      </w:r>
    </w:p>
    <w:p>
      <w:pPr>
        <w:pStyle w:val="BodyText"/>
      </w:pPr>
      <w:r>
        <w:rPr>
          <w:b/>
          <w:bCs/>
        </w:rPr>
        <w:t xml:space="preserve">Table 4.32: Arthropod species in the study area</w:t>
      </w:r>
      <w:r>
        <w:t xml:space="preserve"> </w:t>
      </w:r>
      <w:r>
        <w:t xml:space="preserve">| S/N | Common Names | Orders |</w:t>
      </w:r>
      <w:r>
        <w:t xml:space="preserve"> </w:t>
      </w:r>
      <w:r>
        <w:t xml:space="preserve">| :– | :— | :— |</w:t>
      </w:r>
      <w:r>
        <w:t xml:space="preserve"> </w:t>
      </w:r>
      <w:r>
        <w:t xml:space="preserve">| 1. | Lady bird beetle | Coleoptera |</w:t>
      </w:r>
      <w:r>
        <w:t xml:space="preserve"> </w:t>
      </w:r>
      <w:r>
        <w:t xml:space="preserve">| 2. | Butterfly (yellow) | Lepidoptera |</w:t>
      </w:r>
      <w:r>
        <w:t xml:space="preserve"> </w:t>
      </w:r>
      <w:r>
        <w:t xml:space="preserve">| 3. | Dragon fly | Odonata |</w:t>
      </w:r>
      <w:r>
        <w:t xml:space="preserve"> </w:t>
      </w:r>
      <w:r>
        <w:t xml:space="preserve">| 4. | Common beetle | Coleoptera |</w:t>
      </w:r>
      <w:r>
        <w:t xml:space="preserve"> </w:t>
      </w:r>
      <w:r>
        <w:t xml:space="preserve">| 5. | Houseflies | Diptera |</w:t>
      </w:r>
      <w:r>
        <w:t xml:space="preserve"> </w:t>
      </w:r>
      <w:r>
        <w:t xml:space="preserve">| 6. | Sand Flies | Diptera |</w:t>
      </w:r>
      <w:r>
        <w:t xml:space="preserve"> </w:t>
      </w:r>
      <w:r>
        <w:t xml:space="preserve">| 7. | Mosquitoes | Diptera |</w:t>
      </w:r>
      <w:r>
        <w:t xml:space="preserve"> </w:t>
      </w:r>
      <w:r>
        <w:t xml:space="preserve">| 8. | Grass hopper | Orthoptera |</w:t>
      </w:r>
      <w:r>
        <w:t xml:space="preserve"> </w:t>
      </w:r>
      <w:r>
        <w:t xml:space="preserve">| 9. | Wasp | Hymenoptera |</w:t>
      </w:r>
      <w:r>
        <w:t xml:space="preserve"> </w:t>
      </w:r>
      <w:r>
        <w:t xml:space="preserve">| 10. | Tailor ants | Hymenoptera |</w:t>
      </w:r>
    </w:p>
    <w:p>
      <w:pPr>
        <w:pStyle w:val="BodyText"/>
      </w:pPr>
      <w:r>
        <w:rPr>
          <w:b/>
          <w:bCs/>
        </w:rPr>
        <w:t xml:space="preserve">Table 4.33: Wildlife Species in the study area</w:t>
      </w:r>
      <w:r>
        <w:t xml:space="preserve"> </w:t>
      </w:r>
      <w:r>
        <w:t xml:space="preserve">| S/N | Specie class | Scientific Names | Family | Common Names | Local Names |</w:t>
      </w:r>
      <w:r>
        <w:t xml:space="preserve"> </w:t>
      </w:r>
      <w:r>
        <w:t xml:space="preserve">| :– | :— | :— | :— | :— | :— |</w:t>
      </w:r>
      <w:r>
        <w:t xml:space="preserve"> </w:t>
      </w:r>
      <w:r>
        <w:t xml:space="preserve">| 1. | Molluscs | Achachatina marginata | Achatinidae | Giant West Africa snail | Igbin |</w:t>
      </w:r>
      <w:r>
        <w:t xml:space="preserve"> </w:t>
      </w:r>
      <w:r>
        <w:t xml:space="preserve">| | | Pila sapolita | Ampullaridae | Water snail | Ishawu |</w:t>
      </w:r>
      <w:r>
        <w:t xml:space="preserve"> </w:t>
      </w:r>
      <w:r>
        <w:t xml:space="preserve">| 2. | Annelids | Libyodrilus | Lumbricidae | Earthworm | Ekolo |</w:t>
      </w:r>
      <w:r>
        <w:t xml:space="preserve"> </w:t>
      </w:r>
      <w:r>
        <w:t xml:space="preserve">| 3. | Amphibian species | Pyxicephalus edulis | Dicroglossidae | Frog | Frog |</w:t>
      </w:r>
      <w:r>
        <w:t xml:space="preserve"> </w:t>
      </w:r>
      <w:r>
        <w:t xml:space="preserve">| | | Amietophrynus | Bufonidae | Africa giant Toad | Konko |</w:t>
      </w:r>
      <w:r>
        <w:t xml:space="preserve"> </w:t>
      </w:r>
      <w:r>
        <w:t xml:space="preserve">| 4. | Reptiles | Agama agama agama | Agamidae | Lizard | Alangba |</w:t>
      </w:r>
      <w:r>
        <w:t xml:space="preserve"> </w:t>
      </w:r>
      <w:r>
        <w:t xml:space="preserve">| | | Scincomorpha | Scincidae | Skink | Alarunbele |</w:t>
      </w:r>
      <w:r>
        <w:t xml:space="preserve"> </w:t>
      </w:r>
      <w:r>
        <w:t xml:space="preserve">| | | Varanus sp | Varanidae | Monitor lizard | Alegbe |</w:t>
      </w:r>
      <w:r>
        <w:t xml:space="preserve"> </w:t>
      </w:r>
      <w:r>
        <w:t xml:space="preserve">| 5. | Mammals | Thryonomys swinderianus | Thryonomyidae | Grass Cutter/Cane rat | Oya |</w:t>
      </w:r>
      <w:r>
        <w:t xml:space="preserve"> </w:t>
      </w:r>
      <w:r>
        <w:t xml:space="preserve">| | | Cercopithecus mona | Cercopithecidae | Mona monkey | Iro |</w:t>
      </w:r>
      <w:r>
        <w:t xml:space="preserve"> </w:t>
      </w:r>
      <w:r>
        <w:t xml:space="preserve">| | | Capra aegagrus hircus | Bovidae | Goat | Ewure |</w:t>
      </w:r>
      <w:r>
        <w:t xml:space="preserve"> </w:t>
      </w:r>
      <w:r>
        <w:t xml:space="preserve">| | | Gallus gallus | Phasianidae | Jungle fowl | Adiye |</w:t>
      </w:r>
      <w:r>
        <w:t xml:space="preserve"> </w:t>
      </w:r>
      <w:r>
        <w:t xml:space="preserve">| | | Canis lupus familiaris | Canidae | Domestic dog | Aja |</w:t>
      </w:r>
      <w:r>
        <w:t xml:space="preserve"> </w:t>
      </w:r>
      <w:r>
        <w:t xml:space="preserve">| | | Felis catus | Felidae | Cat | Ologbo |</w:t>
      </w:r>
    </w:p>
    <w:p>
      <w:pPr>
        <w:pStyle w:val="BodyText"/>
      </w:pPr>
      <w:r>
        <w:t xml:space="preserve">Unfortunately, it is anticipated that the proposed project development couple with the on-going reclamation project being under taken near the project site by another company will have cumulative impacts on the existing vegetation and wildlife within the project area. The footprint of the site will change permanently due to the proposed reclamation and construction of intended structures on the site while the fauna will be pushed further into the more remote part of the wetland and may lead to competition for safe habitat among various species. The potential impacts of the proposed projects will be extensively discussed in chapter 5 of this EIA report as required.</w:t>
      </w:r>
    </w:p>
    <w:p>
      <w:pPr>
        <w:pStyle w:val="BodyText"/>
      </w:pPr>
      <w:r>
        <w:rPr>
          <w:b/>
          <w:bCs/>
        </w:rPr>
        <w:t xml:space="preserve">4.13 Traffic Consideration</w:t>
      </w:r>
    </w:p>
    <w:p>
      <w:pPr>
        <w:pStyle w:val="BodyText"/>
      </w:pPr>
      <w:r>
        <w:t xml:space="preserve">The development of the proposed Container Terminal is expected to have major impacts on road network within the project area. A stand-alone Traffic Impact Assessment (TIA) for the project will be conducted and the report is also expected to be considered by the Lagos State Ministry of Transport for approval, but it is important to note and establish the traffic situation concerning the proposed project development in the area.</w:t>
      </w:r>
    </w:p>
    <w:p>
      <w:pPr>
        <w:pStyle w:val="BodyText"/>
      </w:pPr>
      <w:r>
        <w:t xml:space="preserve">During the preliminary survey conducted on the project site, two direction of traffic flow were identified with respect to the corridors connecting the proposed development location.</w:t>
      </w:r>
    </w:p>
    <w:p>
      <w:pPr>
        <w:pStyle w:val="BodyText"/>
      </w:pPr>
      <w:r>
        <w:t xml:space="preserve">The preliminary survey concluded that the trips generated by the proposed residential project development will primarily come through Ikorodu road. Based on the preliminary project design of the project and survey predicted, it is anticipated that the proposed container terminal development will obviously add to the traffic situation on the Ikorodu road during operation phase.</w:t>
      </w:r>
    </w:p>
    <w:p>
      <w:pPr>
        <w:pStyle w:val="BodyText"/>
      </w:pPr>
      <w:r>
        <w:rPr>
          <w:b/>
          <w:bCs/>
        </w:rPr>
        <w:t xml:space="preserve">Socio-economic Profile of Proposed Project Host Community</w:t>
      </w:r>
    </w:p>
    <w:p>
      <w:pPr>
        <w:pStyle w:val="BodyText"/>
      </w:pPr>
      <w:r>
        <w:t xml:space="preserve">The socio-economic baseline is the description of the characteristics of the people as they were at the project time. Basically, it includes information about demographic data, lifestyle, occupation, economic, health and educational status as well as their perception of impacts.</w:t>
      </w:r>
    </w:p>
    <w:p>
      <w:pPr>
        <w:pStyle w:val="BodyText"/>
      </w:pPr>
      <w:r>
        <w:rPr>
          <w:b/>
          <w:bCs/>
        </w:rPr>
        <w:t xml:space="preserve">Stakeholder Consultation</w:t>
      </w:r>
    </w:p>
    <w:p>
      <w:pPr>
        <w:pStyle w:val="BodyText"/>
      </w:pPr>
      <w:r>
        <w:t xml:space="preserve">Consultation is an integral aspect of the E.I.A Process as it provides the platform for the host community and other project stakeholders to interact freely on different aspects of project implementation with a view to finding common grounds and gaining social license to operate the project. The technique adopted for the socio-economic survey involved the conduct of preliminary investigation during which the extent of the area to be surveyed was determined and good rapport were established with residents of the area. The intension of the researchers was explained and benefits of the project for the host community were equally explained and group photographs were taken as well. Essentially, the consultation exercise for the proposed Container Terminal development project’s E.I.A was focused on:</w:t>
      </w:r>
      <w:r>
        <w:t xml:space="preserve"> </w:t>
      </w:r>
      <w:r>
        <w:t xml:space="preserve">* Ensuring that the stakeholders are adequately, correctly and timely informed of the proposed project and EIA Study;</w:t>
      </w:r>
      <w:r>
        <w:t xml:space="preserve"> </w:t>
      </w:r>
      <w:r>
        <w:t xml:space="preserve">* Obtaining views of the general public who in one way or the other would be affected or rather interested in the proposed project;</w:t>
      </w:r>
      <w:r>
        <w:t xml:space="preserve"> </w:t>
      </w:r>
      <w:r>
        <w:t xml:space="preserve">* To gain insight on the role of each stakeholder in the implementation of the environmental and social safeguards as well as structures in place for the management of the proposed facilities;</w:t>
      </w:r>
      <w:r>
        <w:t xml:space="preserve"> </w:t>
      </w:r>
      <w:r>
        <w:t xml:space="preserve">* To provide and discuss with stakeholders the alternatives considered to reduce anticipated impacts</w:t>
      </w:r>
      <w:r>
        <w:t xml:space="preserve"> </w:t>
      </w:r>
      <w:r>
        <w:t xml:space="preserve">* Encouraging meaningful participation of stakeholders in the EIA process;</w:t>
      </w:r>
      <w:r>
        <w:t xml:space="preserve"> </w:t>
      </w:r>
      <w:r>
        <w:t xml:space="preserve">* Building Mutual trust between stakeholders and project proponents;</w:t>
      </w:r>
      <w:r>
        <w:t xml:space="preserve"> </w:t>
      </w:r>
      <w:r>
        <w:t xml:space="preserve">* Identifying, analyzing, and evaluating stakeholders issues and concerns early (at the planning stage)</w:t>
      </w:r>
      <w:r>
        <w:t xml:space="preserve"> </w:t>
      </w:r>
      <w:r>
        <w:t xml:space="preserve">* Raising the comfort level of decision makers;</w:t>
      </w:r>
      <w:r>
        <w:t xml:space="preserve"> </w:t>
      </w:r>
      <w:r>
        <w:t xml:space="preserve">* Bringing forward different views on the project at the planning stage.</w:t>
      </w:r>
      <w:r>
        <w:t xml:space="preserve"> </w:t>
      </w:r>
      <w:r>
        <w:t xml:space="preserve">* To inform the process of developing appropriate mitigation and management option</w:t>
      </w:r>
    </w:p>
    <w:p>
      <w:pPr>
        <w:pStyle w:val="BodyText"/>
      </w:pPr>
      <w:r>
        <w:rPr>
          <w:b/>
          <w:bCs/>
        </w:rPr>
        <w:t xml:space="preserve">Sources of Data</w:t>
      </w:r>
    </w:p>
    <w:p>
      <w:pPr>
        <w:pStyle w:val="BodyText"/>
      </w:pPr>
      <w:r>
        <w:t xml:space="preserve">The main sources of data for the baseline studies is primary data collected in the surveyed area/ community, the primary data is made up of both quantitative and qualitative data. The qualitative data provide insights for a greater understanding of the locality, the local population and the potential impacts of developing the project at the selected location, while the quantitative data provide an important database to facilitate the later evaluation of the project. Secondary data in form of official document and publications were also reviewed to provide important background.</w:t>
      </w:r>
    </w:p>
    <w:p>
      <w:pPr>
        <w:pStyle w:val="BodyText"/>
      </w:pPr>
      <w:r>
        <w:rPr>
          <w:b/>
          <w:bCs/>
        </w:rPr>
        <w:t xml:space="preserve">Methodology for Consultations</w:t>
      </w:r>
    </w:p>
    <w:p>
      <w:pPr>
        <w:pStyle w:val="BodyText"/>
      </w:pPr>
      <w:r>
        <w:t xml:space="preserve">Initial activities involved engagements with relevant stakeholders including regulatory authorities and organizations such as LSMOE&amp;WR, Ikorodu LGA, CDAs and transport union (member of Lagos State Parks and Garage Committee). Others are traditional ruler, residents and other petty business operators in the project area. This engagement was focused on developing the appropriate Terms of Reference, scope of work and work execution plan for the E.I.A study. In developing the scope of work, cognizance was taken and references also made to existing/ recent studies carried out around the project area. Consultations were held with members of the host communities as part of social and health impact assessment. To achieve the social impact and health assessment objectives, the survey methodology includes the following:</w:t>
      </w:r>
      <w:r>
        <w:t xml:space="preserve"> </w:t>
      </w:r>
      <w:r>
        <w:t xml:space="preserve">* Review of secondary data;</w:t>
      </w:r>
      <w:r>
        <w:t xml:space="preserve"> </w:t>
      </w:r>
      <w:r>
        <w:t xml:space="preserve">* Reconnaissance survey to identify the number of communities that fall within the socioeconomic study area. In this case</w:t>
      </w:r>
      <w:r>
        <w:t xml:space="preserve"> </w:t>
      </w:r>
      <w:r>
        <w:t xml:space="preserve">* In-depth interviews (IDIs)/ Key Informant Interviews (KIIs) with community leaders of the sampled community (traditional leader, women leader, religious leaders, youth leaders);</w:t>
      </w:r>
      <w:r>
        <w:t xml:space="preserve"> </w:t>
      </w:r>
      <w:r>
        <w:t xml:space="preserve">* Focus Group Discussion (FGDs) in the sampled community with group of adults males, adult females and youths</w:t>
      </w:r>
      <w:r>
        <w:t xml:space="preserve"> </w:t>
      </w:r>
      <w:r>
        <w:t xml:space="preserve">* Direct Observation (DO) in the selected project area using checklist of items</w:t>
      </w:r>
      <w:r>
        <w:t xml:space="preserve"> </w:t>
      </w:r>
      <w:r>
        <w:t xml:space="preserve">* A quick-Scan Analysis of Income-Generating Activities in the study area</w:t>
      </w:r>
      <w:r>
        <w:t xml:space="preserve"> </w:t>
      </w:r>
      <w:r>
        <w:t xml:space="preserve">* On-the Spot Non-Participant Ethnographic Observation and Assessment; and Participatory tools during FGDs, specifically community mapping, Venn diagram and paired needs ranking and develop case studies, wherever relevant, from examples provided in the discussion of IDIs</w:t>
      </w:r>
      <w:r>
        <w:t xml:space="preserve"> </w:t>
      </w:r>
      <w:r>
        <w:t xml:space="preserve">* Administration of structured questionnaires;</w:t>
      </w:r>
    </w:p>
    <w:p>
      <w:pPr>
        <w:pStyle w:val="BodyText"/>
      </w:pPr>
      <w:r>
        <w:t xml:space="preserve">Participatory methodology that that employs a mix of the above techniques (SSI, FGD and KII) has yielded better results when appropriately utilized (Akpofure and Ojile 1999). Detailed socioeconomic study commenced in February, 2023. To ensure adequate public participation, socioeconomic survey was carried out within a 1km radius of the project site and the information gathered was subsequently analysed.</w:t>
      </w:r>
    </w:p>
    <w:p>
      <w:pPr>
        <w:pStyle w:val="BodyText"/>
      </w:pPr>
      <w:r>
        <w:rPr>
          <w:b/>
          <w:bCs/>
        </w:rPr>
        <w:t xml:space="preserve">Focus Group Discussion</w:t>
      </w:r>
    </w:p>
    <w:p>
      <w:pPr>
        <w:pStyle w:val="BodyText"/>
      </w:pPr>
      <w:r>
        <w:t xml:space="preserve">A Focus Group Discussion (FGD) is a structured discussion method used to obtain in-depth information from a selected group of people within their immediate environment. The purpose of a FGD is to collect information about people’s views, opinions, belief, and attitudes, perceptions toward proposed projects. Focused Group Discussions (FGDs) on the socio-economic and health conditions of the community were held separately amongst the various interest groups while questions were used to obtain the views of the sampled responded within the study area. The community members also had the opportunity to state their concerns as they like to be addressed in the EIA. Quite a number of those that attended the meeting were indifferent to the proposed mixed development project at the selected location. However, few members expressed resentment to the project on the basis that the project will aggravate the existing traffic congestion on Ikorodu road. Above all, the project was perceived by many, that it would improve the aesthetic and the create business opportunities for the locals especially in the area of employment.</w:t>
      </w:r>
    </w:p>
    <w:p>
      <w:pPr>
        <w:pStyle w:val="BodyText"/>
      </w:pPr>
      <w:r>
        <w:rPr>
          <w:b/>
          <w:bCs/>
        </w:rPr>
        <w:t xml:space="preserve">Administration of Structured Questionnaires</w:t>
      </w:r>
    </w:p>
    <w:p>
      <w:pPr>
        <w:pStyle w:val="BodyText"/>
      </w:pPr>
      <w:r>
        <w:t xml:space="preserve">A total fifty (50) structured questionnaire were administered to respondents who were selected through stratified random sampling technique, while a total 45 were returned and processed for analysis. The following socio-economic data were collected for the study:</w:t>
      </w:r>
      <w:r>
        <w:t xml:space="preserve"> </w:t>
      </w:r>
      <w:r>
        <w:t xml:space="preserve">* Demography;</w:t>
      </w:r>
      <w:r>
        <w:t xml:space="preserve"> </w:t>
      </w:r>
      <w:r>
        <w:t xml:space="preserve">* Current socio-economic conditions;</w:t>
      </w:r>
      <w:r>
        <w:t xml:space="preserve"> </w:t>
      </w:r>
      <w:r>
        <w:t xml:space="preserve">* Socio-political structure/organization;</w:t>
      </w:r>
      <w:r>
        <w:t xml:space="preserve"> </w:t>
      </w:r>
      <w:r>
        <w:t xml:space="preserve">* Historical data; and</w:t>
      </w:r>
      <w:r>
        <w:t xml:space="preserve"> </w:t>
      </w:r>
      <w:r>
        <w:t xml:space="preserve">* Community views and expectations on the proposed project activities.</w:t>
      </w:r>
    </w:p>
    <w:p>
      <w:pPr>
        <w:pStyle w:val="BodyText"/>
      </w:pPr>
      <w:r>
        <w:t xml:space="preserve">Also, data were collected from cross-sections of stakeholders within the project environment and these included:</w:t>
      </w:r>
      <w:r>
        <w:t xml:space="preserve"> </w:t>
      </w:r>
      <w:r>
        <w:t xml:space="preserve">* Average household’s size</w:t>
      </w:r>
      <w:r>
        <w:t xml:space="preserve"> </w:t>
      </w:r>
      <w:r>
        <w:t xml:space="preserve">* Number of children (male and female)</w:t>
      </w:r>
      <w:r>
        <w:t xml:space="preserve"> </w:t>
      </w:r>
      <w:r>
        <w:t xml:space="preserve">* Adults male;</w:t>
      </w:r>
      <w:r>
        <w:t xml:space="preserve"> </w:t>
      </w:r>
      <w:r>
        <w:t xml:space="preserve">* Adults female;</w:t>
      </w:r>
      <w:r>
        <w:t xml:space="preserve"> </w:t>
      </w:r>
      <w:r>
        <w:t xml:space="preserve">* Youths (male and female); and</w:t>
      </w:r>
      <w:r>
        <w:t xml:space="preserve"> </w:t>
      </w:r>
      <w:r>
        <w:t xml:space="preserve">* Community structure</w:t>
      </w:r>
    </w:p>
    <w:p>
      <w:pPr>
        <w:pStyle w:val="BodyText"/>
      </w:pPr>
      <w:r>
        <w:t xml:space="preserve">To complement and augment any gap in data, secondary sources of data was extensively utilized, involving published statistics on population and other studies that have been carried out in the area (Dale &amp; Davis ,1995, SIEP, 1996, 2001). Data gathering and analysis were also based on advocated philosophy of</w:t>
      </w:r>
      <w:r>
        <w:t xml:space="preserve"> </w:t>
      </w:r>
      <w:r>
        <w:t xml:space="preserve">“triangulation”</w:t>
      </w:r>
      <w:r>
        <w:t xml:space="preserve"> </w:t>
      </w:r>
      <w:r>
        <w:t xml:space="preserve">(use of a variety of data sources, multiple perspective and multiple methods as reported by Glasson, 1995). Transect walking (triangulation) and ground-truthing methods was also used to complement the data collection exercise. Necessary photography of the human environment, particularly on available infrastructure were also taken to aid discussion and for educational statistics, available primary and secondary schools were visited within the projected affected areas and the school administrators were interviewed for the necessary data.</w:t>
      </w:r>
    </w:p>
    <w:p>
      <w:pPr>
        <w:pStyle w:val="BodyText"/>
      </w:pPr>
      <w:r>
        <w:rPr>
          <w:b/>
          <w:bCs/>
        </w:rPr>
        <w:t xml:space="preserve">Socioeconomic Data Analysis and Presentation</w:t>
      </w:r>
    </w:p>
    <w:p>
      <w:pPr>
        <w:pStyle w:val="BodyText"/>
      </w:pPr>
      <w:r>
        <w:t xml:space="preserve">The primary and secondary data obtained from the survey were analyzed using simple descriptive statistical methods such as mean range mode &amp; percentage were used while some of the data were presented in tables and graph. A total of six major levels of aggregation and analysis were employed and this includes the national regional, state, LGA, community household and individual respondent. The population of the project host community was projected using results from 1991 and 2006 national censuses releases by the national population commission (NPC). Two mathematical population projection methods (the linear extrapolation and exponential growth models) are often used in estimating the population of area of interest. The extrapolation model assumes that population growth occurs in constant increments over time while the exponential model assumes that population growth occurs in constant increments over time but rather changes with time, growing faster as the population size increases. In other words population often tends to grow exponentially rather than linearly. Based on this, the exponential growth model was used in estimating the population of the communities.</w:t>
      </w:r>
    </w:p>
    <w:p>
      <w:pPr>
        <w:pStyle w:val="BodyText"/>
      </w:pPr>
      <w:r>
        <w:t xml:space="preserve">The formula is:</w:t>
      </w:r>
      <w:r>
        <w:t xml:space="preserve"> </w:t>
      </w:r>
      <w:r>
        <w:t xml:space="preserve">Exponential growth model</w:t>
      </w:r>
      <w:r>
        <w:t xml:space="preserve"> </w:t>
      </w:r>
      <w:r>
        <w:t xml:space="preserve">Pn = Po(1+r)^n</w:t>
      </w:r>
      <w:r>
        <w:t xml:space="preserve"> </w:t>
      </w:r>
      <w:r>
        <w:t xml:space="preserve">Where:</w:t>
      </w:r>
      <w:r>
        <w:t xml:space="preserve"> </w:t>
      </w:r>
      <w:r>
        <w:t xml:space="preserve">Po = population in the base year (in this case 2006)</w:t>
      </w:r>
      <w:r>
        <w:t xml:space="preserve"> </w:t>
      </w:r>
      <w:r>
        <w:t xml:space="preserve">r = annual growth rate of the population (as obtained from NPC and Lagos State)</w:t>
      </w:r>
      <w:r>
        <w:t xml:space="preserve"> </w:t>
      </w:r>
      <w:r>
        <w:t xml:space="preserve">n = time lapse, in years</w:t>
      </w:r>
    </w:p>
    <w:p>
      <w:pPr>
        <w:pStyle w:val="BodyText"/>
      </w:pPr>
      <w:r>
        <w:t xml:space="preserve">Although a national census as conducted in 2006, figures for the individual settlements and localities are yet to be published. Results for the 36 states and the Federal Capital Territory, Abuja, and the 776 Local Government Council areas (LGAs) are the only available records. As a consequence, the population of the project - affected community was projected using the 1991/96 and 2006 (for affected LGAs only) population figures, augmented with secondary information.</w:t>
      </w:r>
    </w:p>
    <w:p>
      <w:pPr>
        <w:pStyle w:val="BodyText"/>
      </w:pPr>
      <w:r>
        <w:rPr>
          <w:b/>
          <w:bCs/>
        </w:rPr>
        <w:t xml:space="preserve">Overview of National and State Demographics</w:t>
      </w:r>
    </w:p>
    <w:p>
      <w:pPr>
        <w:pStyle w:val="BodyText"/>
      </w:pPr>
      <w:r>
        <w:t xml:space="preserve">The total population of Nigeria in 2011 was estimated to be 162.5 million, with a population growth rate of 2.5 percent per year. Women make up approximately 49% of the population, with a life expectancy of 52 year, while Men have a life expectancy of 50 years. The Age structure is skewed towards a very young population where 42 percent of the population is below the age of Twenty (20). In 2007, the World Health Organization reported that 70.8% of the population was living below the poverty line of less than One (1) USD per day.</w:t>
      </w:r>
    </w:p>
    <w:p>
      <w:pPr>
        <w:pStyle w:val="BodyText"/>
      </w:pPr>
      <w:r>
        <w:t xml:space="preserve">In 2011, the urban population of Nigeria was 50% of the total and the urban growth was estimated at 4% higher than the 3% percent annual growth rate of the whole population. Although Lagos State is the smallest state in Nigeria with an area approximately of 350,000 ha (of which 76,000 ha are wetlands), it has the highest population of any state in the country. The UN Habitat study and the U.N.D.P assisted Regional Master Plan estimated Lagos State’s population at over Fifteen (15) Million inhabitants in 2004. As of 2011, the Lagos State Government reported a population of Seventeen and half (17.5) Million i.e. over 12.5% of the Nation’s population resides in Lagos-State and this figure is continually growing, with the annual population growth of the state estimated to be Eight (8) percent.</w:t>
      </w:r>
    </w:p>
    <w:p>
      <w:pPr>
        <w:pStyle w:val="BodyText"/>
      </w:pPr>
      <w:r>
        <w:t xml:space="preserve">The average population density for Nigeria as a whole is around 85 persons per Square kilometer, but the population density for Lagos State is considered to be approximately 18 times the national average. In the highly populated areas of the Lagos metropolis, the current population densities based on the population size for 2006 census go as high as 100,000 persons per square kilometer. Most of the government attention in Lagos State has been focused upon the Lagos Metropolis area. However, there are rural areas in the state dominated by fishing villages along the coastal and creek areas with population sizes ranging from 5 to 5,000. Consequently, although the state is the most urbanized in the country, the rural areas within the State are still poorly connected with the urban centers and with one another and thus remains underdeveloped. Table 4.34 provides the statistical analysis that shows the proportion of the state that is rural, peri-urban and urban by each L.G.A.</w:t>
      </w:r>
    </w:p>
    <w:p>
      <w:pPr>
        <w:pStyle w:val="BodyText"/>
      </w:pPr>
      <w:r>
        <w:rPr>
          <w:b/>
          <w:bCs/>
        </w:rPr>
        <w:t xml:space="preserve">Table 4.34: 2006 Population Census Figures for all States in the Country</w:t>
      </w:r>
      <w:r>
        <w:t xml:space="preserve"> </w:t>
      </w:r>
      <w:r>
        <w:t xml:space="preserve">(This table shows the male, female, and total population for all 36 states and the FCT based on the 2006 census. It is a very large table and is summarized here for brevity. The total population was 140,003,542).</w:t>
      </w:r>
    </w:p>
    <w:p>
      <w:pPr>
        <w:pStyle w:val="BodyText"/>
      </w:pPr>
      <w:r>
        <w:rPr>
          <w:b/>
          <w:bCs/>
        </w:rPr>
        <w:t xml:space="preserve">Table 4.35: Communities in Lagos State by LGA and Population Distribution</w:t>
      </w:r>
      <w:r>
        <w:t xml:space="preserve"> </w:t>
      </w:r>
      <w:r>
        <w:t xml:space="preserve">| LGA | Total No of Communities | No. (Percent) Rural | No. (Percent) Peri-urban | No. (Percent) Urban |</w:t>
      </w:r>
      <w:r>
        <w:t xml:space="preserve"> </w:t>
      </w:r>
      <w:r>
        <w:t xml:space="preserve">| :— | :— | :— | :— | :— |</w:t>
      </w:r>
      <w:r>
        <w:t xml:space="preserve"> </w:t>
      </w:r>
      <w:r>
        <w:t xml:space="preserve">| Agege | 82 | 2 (2.44) | 59 (71.95) | 21 (25.61) |</w:t>
      </w:r>
      <w:r>
        <w:t xml:space="preserve"> </w:t>
      </w:r>
      <w:r>
        <w:t xml:space="preserve">| Badagry | 133 | 88 (66.17) | 27 (20.30) | 18 (13.53) |</w:t>
      </w:r>
      <w:r>
        <w:t xml:space="preserve"> </w:t>
      </w:r>
      <w:r>
        <w:t xml:space="preserve">| Epe | 282 | 262 (92.91) | 17 (6.03) | 3 (1.06) |</w:t>
      </w:r>
      <w:r>
        <w:t xml:space="preserve"> </w:t>
      </w:r>
      <w:r>
        <w:t xml:space="preserve">| Eti-Osa | 77 | 18 (23.40) | 23 (29.90) | 36 (46.80) |</w:t>
      </w:r>
      <w:r>
        <w:t xml:space="preserve"> </w:t>
      </w:r>
      <w:r>
        <w:t xml:space="preserve">| Ibeju-Lekki | 142 | 131 (92.25) | 9 (6.34) | 2 (1.41) |</w:t>
      </w:r>
      <w:r>
        <w:t xml:space="preserve"> </w:t>
      </w:r>
      <w:r>
        <w:t xml:space="preserve">| Ikeja | 39 | 2 (5.13) | 14 (35.90) | 23 (58.97) |</w:t>
      </w:r>
      <w:r>
        <w:t xml:space="preserve"> </w:t>
      </w:r>
      <w:r>
        <w:t xml:space="preserve">| Ikorodu | 249 | 175 (70.3) | 28 (11.20) | 46 (18.50) |</w:t>
      </w:r>
      <w:r>
        <w:t xml:space="preserve"> </w:t>
      </w:r>
      <w:r>
        <w:t xml:space="preserve">| Lagos-Island | 53 | 0 (0.00) | 8 (15.0) | 45 (84.91) |</w:t>
      </w:r>
      <w:r>
        <w:t xml:space="preserve"> </w:t>
      </w:r>
      <w:r>
        <w:t xml:space="preserve">| Lagos-Mainland | 61 | 1 (1.64) | 9 (14.75) | 51 (83.61) |</w:t>
      </w:r>
      <w:r>
        <w:t xml:space="preserve"> </w:t>
      </w:r>
      <w:r>
        <w:t xml:space="preserve">| Mushin | 68 | 1 (1.47) | 35 (51.47) | 32 (47.06) |</w:t>
      </w:r>
      <w:r>
        <w:t xml:space="preserve"> </w:t>
      </w:r>
      <w:r>
        <w:t xml:space="preserve">| Ojo | 84 | 36 (42.86) | 21 (48.84) | 22 (51.16) |</w:t>
      </w:r>
      <w:r>
        <w:t xml:space="preserve"> </w:t>
      </w:r>
      <w:r>
        <w:t xml:space="preserve">| Shomolu | 43 | 0 (0.00) | 21 (48.84) | 22 (51.16) |</w:t>
      </w:r>
      <w:r>
        <w:t xml:space="preserve"> </w:t>
      </w:r>
      <w:r>
        <w:t xml:space="preserve">| Alimosho | 131 | 28 (21.42) | 56 (42.70) | 47 (35.90) |</w:t>
      </w:r>
      <w:r>
        <w:t xml:space="preserve"> </w:t>
      </w:r>
      <w:r>
        <w:t xml:space="preserve">| Oshodi-Isolo | 36 | 0 (0.00) | 15 (41.67) | 21 (58.33) |</w:t>
      </w:r>
      <w:r>
        <w:t xml:space="preserve"> </w:t>
      </w:r>
      <w:r>
        <w:t xml:space="preserve">| Surulere | 55 | 2 (3.64) | 36 (65.45) | 17 (31.48) |</w:t>
      </w:r>
      <w:r>
        <w:t xml:space="preserve"> </w:t>
      </w:r>
      <w:r>
        <w:t xml:space="preserve">| Ajeromi-Ifelodun | 60 | 6 (10.00) | 39 (65.00) | 15 (25.00) |</w:t>
      </w:r>
      <w:r>
        <w:t xml:space="preserve"> </w:t>
      </w:r>
      <w:r>
        <w:t xml:space="preserve">| Amuwo-Odofin | 69 | 49 (71.00) | 10 (14.50) | 10 (14.50) |</w:t>
      </w:r>
      <w:r>
        <w:t xml:space="preserve"> </w:t>
      </w:r>
      <w:r>
        <w:t xml:space="preserve">| Apapa | 32 | 1 (3.12) | 21 (65.63) | 10 (31.25) |</w:t>
      </w:r>
      <w:r>
        <w:t xml:space="preserve"> </w:t>
      </w:r>
      <w:r>
        <w:t xml:space="preserve">| Ifako-Ijaiye | 55 | 1 (1.82) | 43 (78.18) | 11 (20.0) |</w:t>
      </w:r>
      <w:r>
        <w:t xml:space="preserve"> </w:t>
      </w:r>
      <w:r>
        <w:t xml:space="preserve">| Kosofe | 63 | 14 (22.22) | 32 (50.79) | 17 (26.98) |</w:t>
      </w:r>
      <w:r>
        <w:t xml:space="preserve"> </w:t>
      </w:r>
      <w:r>
        <w:t xml:space="preserve">|</w:t>
      </w:r>
      <w:r>
        <w:t xml:space="preserve"> </w:t>
      </w:r>
      <w:r>
        <w:rPr>
          <w:b/>
          <w:bCs/>
        </w:rPr>
        <w:t xml:space="preserve">Total</w:t>
      </w:r>
      <w:r>
        <w:t xml:space="preserve"> </w:t>
      </w:r>
      <w:r>
        <w:t xml:space="preserve">|</w:t>
      </w:r>
      <w:r>
        <w:t xml:space="preserve"> </w:t>
      </w:r>
      <w:r>
        <w:rPr>
          <w:b/>
          <w:bCs/>
        </w:rPr>
        <w:t xml:space="preserve">1,814</w:t>
      </w:r>
      <w:r>
        <w:t xml:space="preserve"> </w:t>
      </w:r>
      <w:r>
        <w:t xml:space="preserve">|</w:t>
      </w:r>
      <w:r>
        <w:t xml:space="preserve"> </w:t>
      </w:r>
      <w:r>
        <w:rPr>
          <w:b/>
          <w:bCs/>
        </w:rPr>
        <w:t xml:space="preserve">817 (45.04)</w:t>
      </w:r>
      <w:r>
        <w:t xml:space="preserve"> </w:t>
      </w:r>
      <w:r>
        <w:t xml:space="preserve">|</w:t>
      </w:r>
      <w:r>
        <w:t xml:space="preserve"> </w:t>
      </w:r>
      <w:r>
        <w:rPr>
          <w:b/>
          <w:bCs/>
        </w:rPr>
        <w:t xml:space="preserve">523 (28.83)</w:t>
      </w:r>
      <w:r>
        <w:t xml:space="preserve"> </w:t>
      </w:r>
      <w:r>
        <w:t xml:space="preserve">|</w:t>
      </w:r>
      <w:r>
        <w:t xml:space="preserve"> </w:t>
      </w:r>
      <w:r>
        <w:rPr>
          <w:b/>
          <w:bCs/>
        </w:rPr>
        <w:t xml:space="preserve">474 (26.13)</w:t>
      </w:r>
      <w:r>
        <w:t xml:space="preserve"> </w:t>
      </w:r>
      <w:r>
        <w:t xml:space="preserve">|</w:t>
      </w:r>
      <w:r>
        <w:t xml:space="preserve"> </w:t>
      </w:r>
      <w:r>
        <w:rPr>
          <w:i/>
          <w:iCs/>
        </w:rPr>
        <w:t xml:space="preserve">Source: CRD (2001)</w:t>
      </w:r>
    </w:p>
    <w:p>
      <w:pPr>
        <w:pStyle w:val="BodyText"/>
      </w:pPr>
      <w:r>
        <w:rPr>
          <w:b/>
          <w:bCs/>
        </w:rPr>
        <w:t xml:space="preserve">Table 4.36: Population of each LGA in Lagos-State</w:t>
      </w:r>
      <w:r>
        <w:t xml:space="preserve"> </w:t>
      </w:r>
      <w:r>
        <w:t xml:space="preserve">(This table shows the male, female, and total population for all 20 LGAs in Lagos State, with a total of 17,552,942. It is summarized here for brevity).</w:t>
      </w:r>
      <w:r>
        <w:t xml:space="preserve"> </w:t>
      </w:r>
      <w:r>
        <w:rPr>
          <w:i/>
          <w:iCs/>
        </w:rPr>
        <w:t xml:space="preserve">(Source: Lagos State Government 2011)</w:t>
      </w:r>
    </w:p>
    <w:p>
      <w:pPr>
        <w:pStyle w:val="BodyText"/>
      </w:pPr>
      <w:r>
        <w:rPr>
          <w:b/>
          <w:bCs/>
        </w:rPr>
        <w:t xml:space="preserve">General Community Profile of the Study Area</w:t>
      </w:r>
    </w:p>
    <w:p>
      <w:pPr>
        <w:pStyle w:val="BodyText"/>
      </w:pPr>
      <w:r>
        <w:t xml:space="preserve">The proposed container terminal project is located at Ipakodo/Ebute-Iga community, in Ikorodu Local Government Area of Lagos State, southwestern Nigeria.</w:t>
      </w:r>
      <w:r>
        <w:t xml:space="preserve"> </w:t>
      </w:r>
      <w:r>
        <w:t xml:space="preserve">*</w:t>
      </w:r>
      <w:r>
        <w:t xml:space="preserve"> </w:t>
      </w:r>
      <w:r>
        <w:rPr>
          <w:b/>
          <w:bCs/>
        </w:rPr>
        <w:t xml:space="preserve">IPAKODO</w:t>
      </w:r>
      <w:r>
        <w:t xml:space="preserve">: Ipakodo was founded by Sekumade who is a direct son of Oba-Kuyilu, the Akarigbo of Remo kingdom. He was the first son of Akarigbo that establish his coast outside Akarigbo kingdom. He is the elder brother to Oga (who founded Ikorodu) and promises Oladeepo, the first daughter of Kuyilu. Ipako community shares borders with Owutu, Ebute-Iga, Igbogbo and Ikorodu towns. The traditional ruler of Ipakodo is titled the Sekunmade of Ipakodo and the current traditional head is Engr. Bashorun Sotonwa.</w:t>
      </w:r>
      <w:r>
        <w:t xml:space="preserve"> </w:t>
      </w:r>
      <w:r>
        <w:t xml:space="preserve">*</w:t>
      </w:r>
      <w:r>
        <w:t xml:space="preserve"> </w:t>
      </w:r>
      <w:r>
        <w:rPr>
          <w:b/>
          <w:bCs/>
        </w:rPr>
        <w:t xml:space="preserve">EBUTE-IGA</w:t>
      </w:r>
      <w:r>
        <w:t xml:space="preserve">: Ebute-Iga town was founded by Prince Otuyelu Ifadunmo, the grandson of Ooni Adagba of Ile-Ife (the 38th of Ooni of Ife). Ebute-Iga was founded in the early 1300 as a result of Fulani’s slave exploration that dismantled Ife, Oyo and other Yoruba traditional towns. The community has been a settlement of Aworis and Ijebus with special reference to their chief of command which is directly from the palace of Oloja of Lagos and son Asogbon of Lagos.</w:t>
      </w:r>
    </w:p>
    <w:p>
      <w:pPr>
        <w:pStyle w:val="BodyText"/>
      </w:pPr>
      <w:r>
        <w:t xml:space="preserve">Currently, there are councils of Baales and Chiefs that sees to the administration processes of Ebu-Iga, hence the Alashe of Ebute-Iga remains the head of Ebute-Iga community. The current Alashe is Prince Abiola Kosoko who also double as Oloja of Lagos. Ebute-Iga remains the chief custodian of the various deities and traditional religion being observed within Ikorodu Division which consist of eighteen town. The most important festival in Ikorodu Division which usher in all other festival herein referred to as Liwe Festival has always been the festival in Ikorodu Division which has remained the deity and responsibility of Alashe of Ebute-Iga (Prince Abiola Kosoko) to determine when and how the festival is scheduled which is usually held in the month of January and March of every year. In addition, there are twenty three (23) deities in Ebute-Iga higher than any other town in Ikorodu Division. This include Ota, Osun, Esu, Esu-le, Esu-ona, Ogun-ile, Ogun-ona, Alale, Aje, Orisanla, Obatala, Osugbo, Ijinla, Osu, Odu. Others are Egun, Egunu, Toruku and Oniko. Like many other Communities within Ikorodu LGA, the proposed project host community (Ipakodo/ Ebute Igan) is dominated by Yoruba, Awori and Ijebu speaking people. The way residents spatially distribute themselves is significant and reflects cultural ideas about socially accepted mode of settlement. The settlement pattern is that of a situation where houses are built with no identifiable boundary fence. This is expected due to the fact that the community is located in a remote area and dominated by poor people.</w:t>
      </w:r>
    </w:p>
    <w:p>
      <w:pPr>
        <w:pStyle w:val="BodyText"/>
      </w:pPr>
      <w:r>
        <w:rPr>
          <w:b/>
          <w:bCs/>
        </w:rPr>
        <w:t xml:space="preserve">Population Size and Composition</w:t>
      </w:r>
    </w:p>
    <w:p>
      <w:pPr>
        <w:pStyle w:val="BodyText"/>
      </w:pPr>
      <w:r>
        <w:t xml:space="preserve">Many experts in demography have asserted that the current population of Mowo town stands at an estimated 78,897. Though there is no reliable data on the actual population of Mowo town, however a description of the population would therefore be discussed in relation with the population distribution of the entire Lagos State using the result of the 1991 National Population Census conducted by the National Population Commission (NPC). Though the NPC figure for Lagos State gave a population of over 9 million people (see table 4.36), this census (NPC) population figure for the State no doubt became a subject of controversy and was rejected in its entirety by the then government of Lagos State. Consequently, the 2006 NPC population figure for the State (Lagos) was however used to project for the 2020 population of the State in order to better justify the population growth of the State.</w:t>
      </w:r>
    </w:p>
    <w:p>
      <w:pPr>
        <w:pStyle w:val="BodyText"/>
      </w:pPr>
      <w:r>
        <w:t xml:space="preserve">The population estimates for Ikorodu LGA according the Lagos State Government in 2011 was an estimated 241,093 with a projection to reach 535,619 in 2020. Over the years, the population of this Local Government Area would have grown, determined by the interplay of the demographic processes of fertility, mortality and migration. Considering the population growth determining factors, the N.P.C estimated that the population of Nigeria grows annually at 3.2% (NDHS, 2008). At this rate of growth (and using exponential growth model), the projected population of the LGA from 2011 to 2023 is presented in Table 4.37.</w:t>
      </w:r>
    </w:p>
    <w:p>
      <w:pPr>
        <w:pStyle w:val="BodyText"/>
      </w:pPr>
      <w:r>
        <w:rPr>
          <w:b/>
          <w:bCs/>
        </w:rPr>
        <w:t xml:space="preserve">Table 4.37: Population of Lagos State (NPC 2006) and Projected 2020 Population</w:t>
      </w:r>
      <w:r>
        <w:t xml:space="preserve"> </w:t>
      </w:r>
      <w:r>
        <w:t xml:space="preserve">| S/No. | Local Government | Population (2006) | Projected Population 2020 |</w:t>
      </w:r>
      <w:r>
        <w:t xml:space="preserve"> </w:t>
      </w:r>
      <w:r>
        <w:t xml:space="preserve">| :– | :— | :— | :— |</w:t>
      </w:r>
      <w:r>
        <w:t xml:space="preserve"> </w:t>
      </w:r>
      <w:r>
        <w:t xml:space="preserve">| 1. | Apapa | 217,362 | 311,348 |</w:t>
      </w:r>
      <w:r>
        <w:t xml:space="preserve"> </w:t>
      </w:r>
      <w:r>
        <w:t xml:space="preserve">| 2. | Lagos Island | 209,437 | 299,996 |</w:t>
      </w:r>
      <w:r>
        <w:t xml:space="preserve"> </w:t>
      </w:r>
      <w:r>
        <w:t xml:space="preserve">| 3. | Ajeromi-Ifelodun | 684,105 | 979,909 |</w:t>
      </w:r>
      <w:r>
        <w:t xml:space="preserve"> </w:t>
      </w:r>
      <w:r>
        <w:t xml:space="preserve">| 4. | Lagos Mainland | 317,720 | 455,100 |</w:t>
      </w:r>
      <w:r>
        <w:t xml:space="preserve"> </w:t>
      </w:r>
      <w:r>
        <w:t xml:space="preserve">| 5. | Badagry | 241,093 | 345,340 |</w:t>
      </w:r>
      <w:r>
        <w:t xml:space="preserve"> </w:t>
      </w:r>
      <w:r>
        <w:t xml:space="preserve">| 6. | Ojo | 598,071 | 856,674 |</w:t>
      </w:r>
      <w:r>
        <w:t xml:space="preserve"> </w:t>
      </w:r>
      <w:r>
        <w:t xml:space="preserve">| 7. | Amuwo-Odofin | 318,166 | 455,739 |</w:t>
      </w:r>
      <w:r>
        <w:t xml:space="preserve"> </w:t>
      </w:r>
      <w:r>
        <w:t xml:space="preserve">| 8. | Shomolu | 402,673 | 576,787 |</w:t>
      </w:r>
      <w:r>
        <w:t xml:space="preserve"> </w:t>
      </w:r>
      <w:r>
        <w:t xml:space="preserve">| 9. | Kosofe | 665,393 | 953,106 |</w:t>
      </w:r>
      <w:r>
        <w:t xml:space="preserve"> </w:t>
      </w:r>
      <w:r>
        <w:t xml:space="preserve">| 10. | Ikorodu | 535,619 | 767,218 |</w:t>
      </w:r>
      <w:r>
        <w:t xml:space="preserve"> </w:t>
      </w:r>
      <w:r>
        <w:t xml:space="preserve">| 11. | Eti-Osa | 287,785 | 412,222 |</w:t>
      </w:r>
      <w:r>
        <w:t xml:space="preserve"> </w:t>
      </w:r>
      <w:r>
        <w:t xml:space="preserve">| 12. | Ibeju/Lekki | 117,481 | 168,279 |</w:t>
      </w:r>
      <w:r>
        <w:t xml:space="preserve"> </w:t>
      </w:r>
      <w:r>
        <w:t xml:space="preserve">| 13. | Epe | 181,409 | 259,849 |</w:t>
      </w:r>
      <w:r>
        <w:t xml:space="preserve"> </w:t>
      </w:r>
      <w:r>
        <w:t xml:space="preserve">| 14. | Surulere | 503,975 | 721,891 |</w:t>
      </w:r>
      <w:r>
        <w:t xml:space="preserve"> </w:t>
      </w:r>
      <w:r>
        <w:t xml:space="preserve">| 15. | Mushin | 633,009 | 906,718 |</w:t>
      </w:r>
      <w:r>
        <w:t xml:space="preserve"> </w:t>
      </w:r>
      <w:r>
        <w:t xml:space="preserve">| 16. | Oshodi-Isolo | 621,509 | 890,247 |</w:t>
      </w:r>
      <w:r>
        <w:t xml:space="preserve"> </w:t>
      </w:r>
      <w:r>
        <w:t xml:space="preserve">| 17. | Ikeja | 313,196 | 448,621 |</w:t>
      </w:r>
      <w:r>
        <w:t xml:space="preserve"> </w:t>
      </w:r>
      <w:r>
        <w:t xml:space="preserve">| 18. | Ifako-Ijaye | 457,878 | 612,891 |</w:t>
      </w:r>
      <w:r>
        <w:t xml:space="preserve"> </w:t>
      </w:r>
      <w:r>
        <w:t xml:space="preserve">| 19. | Agege | 459,939 | 658,815 |</w:t>
      </w:r>
      <w:r>
        <w:t xml:space="preserve"> </w:t>
      </w:r>
      <w:r>
        <w:t xml:space="preserve">| 20. | Alimosho | 1,277,714 | 1,830,192 |</w:t>
      </w:r>
      <w:r>
        <w:t xml:space="preserve"> </w:t>
      </w:r>
      <w:r>
        <w:t xml:space="preserve">|</w:t>
      </w:r>
      <w:r>
        <w:t xml:space="preserve"> </w:t>
      </w:r>
      <w:r>
        <w:rPr>
          <w:b/>
          <w:bCs/>
        </w:rPr>
        <w:t xml:space="preserve">Total</w:t>
      </w:r>
      <w:r>
        <w:t xml:space="preserve"> </w:t>
      </w:r>
      <w:r>
        <w:t xml:space="preserve">|</w:t>
      </w:r>
      <w:r>
        <w:t xml:space="preserve"> </w:t>
      </w:r>
      <w:r>
        <w:rPr>
          <w:b/>
          <w:bCs/>
        </w:rPr>
        <w:t xml:space="preserve">9,013,534</w:t>
      </w:r>
      <w:r>
        <w:t xml:space="preserve"> </w:t>
      </w:r>
      <w:r>
        <w:t xml:space="preserve">|</w:t>
      </w:r>
      <w:r>
        <w:t xml:space="preserve"> </w:t>
      </w:r>
      <w:r>
        <w:rPr>
          <w:b/>
          <w:bCs/>
        </w:rPr>
        <w:t xml:space="preserve">12,910,948</w:t>
      </w:r>
      <w:r>
        <w:t xml:space="preserve"> </w:t>
      </w:r>
      <w:r>
        <w:t xml:space="preserve">|</w:t>
      </w:r>
      <w:r>
        <w:t xml:space="preserve"> </w:t>
      </w:r>
      <w:r>
        <w:rPr>
          <w:i/>
          <w:iCs/>
        </w:rPr>
        <w:t xml:space="preserve">Source : GEECL survey February, 2022</w:t>
      </w:r>
    </w:p>
    <w:p>
      <w:pPr>
        <w:pStyle w:val="BodyText"/>
      </w:pPr>
      <w:r>
        <w:t xml:space="preserve">The last NPC census figure of 2006 reported a population of 9,013,534 for Lagos State, however this figure was used to project the 2020 population of the State based on the 2.6% national (Nigeria) growth rate (World Bank, 2019) as shown above. The result of the 2020 population projection gave a figure of 12,910,948 for Lagos State (UTNL; 2020). This project population figure (12,910,000) which was based on the 2006 NPC figure no doubt is a far cry from the current population of the State, thus further validating the earlier position of the Lagos State Government on the NPC figure as not being true representation of the State’s population.</w:t>
      </w:r>
    </w:p>
    <w:p>
      <w:pPr>
        <w:pStyle w:val="BodyText"/>
      </w:pPr>
      <w:r>
        <w:t xml:space="preserve">Thus, the location, investments in infrastructural development by the successive governments of Lagos State as well as the socio-economic opportunities has attracted continuous migration not only from other parts of Nigeria but across the globe especially from the West African-sub region thereby culminating into population surge with its potential to trigger urban slum, overstretch infrastructures and more importantly natural resource depletion. It is important to mention that the attained urban trend coupled with uncontrolled population surge in the State remains a topical challenge confronting the State.</w:t>
      </w:r>
    </w:p>
    <w:p>
      <w:pPr>
        <w:pStyle w:val="BodyText"/>
      </w:pPr>
      <w:r>
        <w:t xml:space="preserve">This has resulted in the astronomical population growth of the State and hence, the most densely populated in Nigeria with an estimated population of over 15 million people in 2013 and a projected population of 22 million in 2019.</w:t>
      </w:r>
    </w:p>
    <w:p>
      <w:pPr>
        <w:pStyle w:val="BodyText"/>
      </w:pPr>
      <w:r>
        <w:t xml:space="preserve">As earlier stated, structured questionnaire were administered to stakeholders in the study area in order to obtain necessary socio-economic information of the project area. The returned questionnaires together with the perspectives or views of the strata of respondents on the project were consequently analyzed.</w:t>
      </w:r>
    </w:p>
    <w:p>
      <w:pPr>
        <w:pStyle w:val="BodyText"/>
      </w:pPr>
      <w:r>
        <w:rPr>
          <w:b/>
          <w:bCs/>
        </w:rPr>
        <w:t xml:space="preserve">Landownership/Acquisition</w:t>
      </w:r>
    </w:p>
    <w:p>
      <w:pPr>
        <w:pStyle w:val="BodyText"/>
      </w:pPr>
      <w:r>
        <w:t xml:space="preserve">Land tenure and management of water resources and access to basic resources in the project area seem to be in the control of the main native of the community and the government. Both government and private individual have been acquiring lands in the community to serve different purposes on the larger Lagos State community, and beyond. Land resources which used to be available for farming activities before urbanization have ceased as the entire project area has now become home of expensive property.</w:t>
      </w:r>
    </w:p>
    <w:p>
      <w:pPr>
        <w:pStyle w:val="BodyText"/>
      </w:pPr>
      <w:r>
        <w:rPr>
          <w:b/>
          <w:bCs/>
        </w:rPr>
        <w:t xml:space="preserve">4.14 Demography characteristics of sampled respondents</w:t>
      </w:r>
    </w:p>
    <w:p>
      <w:pPr>
        <w:pStyle w:val="BodyText"/>
      </w:pPr>
      <w:r>
        <w:t xml:space="preserve">This section of the report describes the demographic characteristics of the sampled respondents. As previously said a structured questionnaire were administered to a total of fifty (50) respondents in the study area while a total of 45 were returned and processed for analysis. The respondents were selected through stratified random sampling technique. The returned questionnaires together with the perspectives or views of the strata of respondents on the project were consequently analyzed. Data presented in this section was drawn from the survey.</w:t>
      </w:r>
    </w:p>
    <w:p>
      <w:pPr>
        <w:pStyle w:val="BodyText"/>
      </w:pPr>
      <w:r>
        <w:rPr>
          <w:b/>
          <w:bCs/>
        </w:rPr>
        <w:t xml:space="preserve">Age Distribution of Respondents</w:t>
      </w:r>
    </w:p>
    <w:p>
      <w:pPr>
        <w:pStyle w:val="BodyText"/>
      </w:pPr>
      <w:r>
        <w:t xml:space="preserve">The gender distribution of the respondents as contained in Table 4.38 shows that respondents in the age group category constitute 38.7% while those above 40 years constitute 34.6%. The low distribution recorded for youths (less than 19 years) could be adduced to their engagement in school and other vocations. The male constitute 66% while female is 34% and the high number of male respondents can be attributed to the dominance nature of men in the society as most of them engage in various occupation (NURTW, motorcycle-Okada/tricycle riding) while women were majorly petty traders with their shops / kiosks by the roadside or under the near-by bridge.</w:t>
      </w:r>
    </w:p>
    <w:p>
      <w:pPr>
        <w:pStyle w:val="BodyText"/>
      </w:pPr>
      <w:r>
        <w:rPr>
          <w:b/>
          <w:bCs/>
        </w:rPr>
        <w:t xml:space="preserve">Table 4.38: Age Distribution of Respondent</w:t>
      </w:r>
      <w:r>
        <w:t xml:space="preserve"> </w:t>
      </w:r>
      <w:r>
        <w:t xml:space="preserve">| Age [Years] | Frequency | Percentage Distribution |</w:t>
      </w:r>
      <w:r>
        <w:t xml:space="preserve"> </w:t>
      </w:r>
      <w:r>
        <w:t xml:space="preserve">| :— | :— | :— |</w:t>
      </w:r>
      <w:r>
        <w:t xml:space="preserve"> </w:t>
      </w:r>
      <w:r>
        <w:t xml:space="preserve">| &lt;19 | 5 | 12 |</w:t>
      </w:r>
      <w:r>
        <w:t xml:space="preserve"> </w:t>
      </w:r>
      <w:r>
        <w:t xml:space="preserve">| 20-30 | 8 | 32.7 |</w:t>
      </w:r>
      <w:r>
        <w:t xml:space="preserve"> </w:t>
      </w:r>
      <w:r>
        <w:t xml:space="preserve">| 31-40 | 7 | 14.7 |</w:t>
      </w:r>
      <w:r>
        <w:t xml:space="preserve"> </w:t>
      </w:r>
      <w:r>
        <w:t xml:space="preserve">| &gt;40 | 10 | 40.6 |</w:t>
      </w:r>
      <w:r>
        <w:t xml:space="preserve"> </w:t>
      </w:r>
      <w:r>
        <w:t xml:space="preserve">|</w:t>
      </w:r>
      <w:r>
        <w:t xml:space="preserve"> </w:t>
      </w:r>
      <w:r>
        <w:rPr>
          <w:b/>
          <w:bCs/>
        </w:rPr>
        <w:t xml:space="preserve">Total</w:t>
      </w:r>
      <w:r>
        <w:t xml:space="preserve"> </w:t>
      </w:r>
      <w:r>
        <w:t xml:space="preserve">| |</w:t>
      </w:r>
      <w:r>
        <w:t xml:space="preserve"> </w:t>
      </w:r>
      <w:r>
        <w:rPr>
          <w:b/>
          <w:bCs/>
        </w:rPr>
        <w:t xml:space="preserve">100%</w:t>
      </w:r>
      <w:r>
        <w:t xml:space="preserve"> </w:t>
      </w:r>
      <w:r>
        <w:t xml:space="preserve">|</w:t>
      </w:r>
    </w:p>
    <w:p>
      <w:pPr>
        <w:pStyle w:val="BodyText"/>
      </w:pPr>
      <w:r>
        <w:t xml:space="preserve">In terms of the sample by sex, less than 1/3 of the responders that were surveyed are female. The sample was purposely selected to ensure that female respondents were represented in the survey.</w:t>
      </w:r>
    </w:p>
    <w:p>
      <w:pPr>
        <w:pStyle w:val="BodyText"/>
      </w:pPr>
      <w:r>
        <w:rPr>
          <w:b/>
          <w:bCs/>
        </w:rPr>
        <w:t xml:space="preserve">Description of sample respondents by Marital Status and Household size</w:t>
      </w:r>
    </w:p>
    <w:p>
      <w:pPr>
        <w:pStyle w:val="BodyText"/>
      </w:pPr>
      <w:r>
        <w:t xml:space="preserve">The marital status of the respondents as depicted in Table 4.39 shows that nearly all the respondents are married and this was expected considering the age and distribution earlier reported. All the marriages are monogamous with most of the respondents reported having not more than three children in their families as expected of the nature of people living in the project area. The marital status of the respondents shows that 7% of the respondents were single while 90% of the respondents were married and 3% were widows. This feature is however typical of any society in Nigeria.</w:t>
      </w:r>
    </w:p>
    <w:p>
      <w:pPr>
        <w:pStyle w:val="BodyText"/>
      </w:pPr>
      <w:r>
        <w:rPr>
          <w:b/>
          <w:bCs/>
        </w:rPr>
        <w:t xml:space="preserve">Table 4.39: Marital Status of Respondents</w:t>
      </w:r>
      <w:r>
        <w:t xml:space="preserve"> </w:t>
      </w:r>
      <w:r>
        <w:t xml:space="preserve">| Status | Responses (%) |</w:t>
      </w:r>
      <w:r>
        <w:t xml:space="preserve"> </w:t>
      </w:r>
      <w:r>
        <w:t xml:space="preserve">| :— | :— |</w:t>
      </w:r>
      <w:r>
        <w:t xml:space="preserve"> </w:t>
      </w:r>
      <w:r>
        <w:t xml:space="preserve">| Single | 7 |</w:t>
      </w:r>
      <w:r>
        <w:t xml:space="preserve"> </w:t>
      </w:r>
      <w:r>
        <w:t xml:space="preserve">| Married | 90 |</w:t>
      </w:r>
      <w:r>
        <w:t xml:space="preserve"> </w:t>
      </w:r>
      <w:r>
        <w:t xml:space="preserve">| Divorced | - |</w:t>
      </w:r>
      <w:r>
        <w:t xml:space="preserve"> </w:t>
      </w:r>
      <w:r>
        <w:t xml:space="preserve">| Widow | 3 |</w:t>
      </w:r>
      <w:r>
        <w:t xml:space="preserve"> </w:t>
      </w:r>
      <w:r>
        <w:t xml:space="preserve">| Widower | - |</w:t>
      </w:r>
      <w:r>
        <w:t xml:space="preserve"> </w:t>
      </w:r>
      <w:r>
        <w:t xml:space="preserve">| Others | - |</w:t>
      </w:r>
      <w:r>
        <w:t xml:space="preserve"> </w:t>
      </w:r>
      <w:r>
        <w:t xml:space="preserve">|</w:t>
      </w:r>
      <w:r>
        <w:t xml:space="preserve"> </w:t>
      </w:r>
      <w:r>
        <w:rPr>
          <w:b/>
          <w:bCs/>
        </w:rPr>
        <w:t xml:space="preserve">Total</w:t>
      </w:r>
      <w:r>
        <w:t xml:space="preserve"> </w:t>
      </w:r>
      <w:r>
        <w:t xml:space="preserve">|</w:t>
      </w:r>
      <w:r>
        <w:t xml:space="preserve"> </w:t>
      </w:r>
      <w:r>
        <w:rPr>
          <w:b/>
          <w:bCs/>
        </w:rPr>
        <w:t xml:space="preserve">100</w:t>
      </w:r>
      <w:r>
        <w:t xml:space="preserve"> </w:t>
      </w:r>
      <w:r>
        <w:t xml:space="preserve">|</w:t>
      </w:r>
      <w:r>
        <w:t xml:space="preserve"> </w:t>
      </w:r>
      <w:r>
        <w:rPr>
          <w:i/>
          <w:iCs/>
        </w:rPr>
        <w:t xml:space="preserve">Source: GEECL Fieldwork February, 2022</w:t>
      </w:r>
    </w:p>
    <w:p>
      <w:pPr>
        <w:pStyle w:val="BodyText"/>
      </w:pPr>
      <w:r>
        <w:rPr>
          <w:b/>
          <w:bCs/>
        </w:rPr>
        <w:t xml:space="preserve">Description of sample respondents by Religion, Customs, Beliefs Systems and Cultural Heritage</w:t>
      </w:r>
    </w:p>
    <w:p>
      <w:pPr>
        <w:pStyle w:val="BodyText"/>
      </w:pPr>
      <w:r>
        <w:t xml:space="preserve">The religion affiliation of the respondents in the study area shows that we have Christians, Muslims and traditional worshippers alike. However, Christianity and Islam are the two major religions being practiced by the residents in the sampled community. As indicated 54.9% and 42.7% were Christian and Muslims respectively while a fraction of 2.4% of the community claimed to engaged in traditional religious practices.</w:t>
      </w:r>
    </w:p>
    <w:p>
      <w:pPr>
        <w:pStyle w:val="BodyText"/>
      </w:pPr>
      <w:r>
        <w:rPr>
          <w:b/>
          <w:bCs/>
        </w:rPr>
        <w:t xml:space="preserve">Description of Sample Respondents by Ethnic Composition</w:t>
      </w:r>
    </w:p>
    <w:p>
      <w:pPr>
        <w:pStyle w:val="BodyText"/>
      </w:pPr>
      <w:r>
        <w:t xml:space="preserve">The surveyed community is heterogeneous in ethnic composition. The sampled respondents is made up of Yoruba ethnic groups of different dialectic groups from different part of southwestern Nigeria. The native of the community are mostly Yoruba speaking people. However, it is appreciated that the community equally have other ethnic groups which include Igbo, Hausa, Ijaw amongst others. Majority of the sampled respondents are Ijebu and Awori speaking people representing 59.7% of the ethnic composition while 41.3% is of other ethnic extraction.</w:t>
      </w:r>
    </w:p>
    <w:p>
      <w:pPr>
        <w:pStyle w:val="BodyText"/>
      </w:pPr>
      <w:r>
        <w:rPr>
          <w:b/>
          <w:bCs/>
        </w:rPr>
        <w:t xml:space="preserve">Description of Sample Respondents by Educational Characteristics</w:t>
      </w:r>
    </w:p>
    <w:p>
      <w:pPr>
        <w:pStyle w:val="BodyText"/>
      </w:pPr>
      <w:r>
        <w:t xml:space="preserve">Considering the educational attainment of the inhabitants, statistics shows that the sampled residents in the study area have attended primary school and secondary schools with few of them also noticed to have passed a tertiary education. Although Lagos State is one of the states with high literacy level, the data from the household survey shows that this align with the level of education in Lagos. This data displayed in Table 4.40 shows that women, particularly street traders have lower literacy levels than men. This aligns with the information during the FGDs and KIIs that more girls drop out of school at an early age. The lower education attainment of people within the project area, particularly women may result in many local people being able to take up employment opportunities with the project. This will be considered in planning for employment to ensure local communities within the project area receives support to ensure that more local people can take advantage of project related employment opportunities.</w:t>
      </w:r>
    </w:p>
    <w:p>
      <w:pPr>
        <w:pStyle w:val="BodyText"/>
      </w:pPr>
      <w:r>
        <w:rPr>
          <w:b/>
          <w:bCs/>
        </w:rPr>
        <w:t xml:space="preserve">Table 4.40: Education Levels within the Project Area</w:t>
      </w:r>
      <w:r>
        <w:t xml:space="preserve"> </w:t>
      </w:r>
      <w:r>
        <w:t xml:space="preserve">| Educational Status | Male % | Female % |</w:t>
      </w:r>
      <w:r>
        <w:t xml:space="preserve"> </w:t>
      </w:r>
      <w:r>
        <w:t xml:space="preserve">| :— | :— | :— |</w:t>
      </w:r>
      <w:r>
        <w:t xml:space="preserve"> </w:t>
      </w:r>
      <w:r>
        <w:t xml:space="preserve">| No Formal Education | 39 | 70 |</w:t>
      </w:r>
      <w:r>
        <w:t xml:space="preserve"> </w:t>
      </w:r>
      <w:r>
        <w:t xml:space="preserve">| Primary Education | 81 | 19 |</w:t>
      </w:r>
      <w:r>
        <w:t xml:space="preserve"> </w:t>
      </w:r>
      <w:r>
        <w:t xml:space="preserve">| Secondary Education | 59 | 41 |</w:t>
      </w:r>
      <w:r>
        <w:t xml:space="preserve"> </w:t>
      </w:r>
      <w:r>
        <w:t xml:space="preserve">| Tertiary Education | 70 | 30 |</w:t>
      </w:r>
      <w:r>
        <w:t xml:space="preserve"> </w:t>
      </w:r>
      <w:r>
        <w:rPr>
          <w:i/>
          <w:iCs/>
        </w:rPr>
        <w:t xml:space="preserve">(Source: GEECL Fieldwork February, 2023)</w:t>
      </w:r>
    </w:p>
    <w:p>
      <w:pPr>
        <w:pStyle w:val="BodyText"/>
      </w:pPr>
      <w:r>
        <w:rPr>
          <w:b/>
          <w:bCs/>
        </w:rPr>
        <w:t xml:space="preserve">Description of income Distribution of Sampled Residents</w:t>
      </w:r>
    </w:p>
    <w:p>
      <w:pPr>
        <w:pStyle w:val="BodyText"/>
      </w:pPr>
      <w:r>
        <w:t xml:space="preserve">Statistics from the survey revealed that the sampled respondents are engaged in both formal and informal income generating activities. Some of the respondents have employment or business enterprises within and around their abode. Other have their income generating activities far from their residence. According to the findings, the sampled respondents are engaged in occupation such as trading/marketing, transport, fishing, crafts/artisan, service/other wage jobs. It is interesting to note also that some of the inhabitants of the community are retirees. The result of the distribution of respondents by monthly income earnings revealed rural/or peri-urban nature of the study area where more than half of the respondents earns less than N40,000.00 unlike what is obtainable in the cosmopolitan area where majority can earn more than N40,000.00 a month. Considering the income generated by the respondents in the study area vis a vis the current economic realities in the country, their income can be assumed to be relatively small.</w:t>
      </w:r>
    </w:p>
    <w:p>
      <w:pPr>
        <w:pStyle w:val="BodyText"/>
      </w:pPr>
      <w:r>
        <w:rPr>
          <w:b/>
          <w:bCs/>
        </w:rPr>
        <w:t xml:space="preserve">4.15 Existing Infrastructure and Facilities</w:t>
      </w:r>
    </w:p>
    <w:p>
      <w:pPr>
        <w:pStyle w:val="BodyText"/>
      </w:pPr>
      <w:r>
        <w:t xml:space="preserve">The level of infrastructures and amenities available and functional in any area or community has direct implications on the quality of life in that area, and therefore determines the willingness of people to live and remain there. It also influences other socio-cultural and economic variables in the area. A reasonable level of income, availability and access to basic infrastructural amenities of life has always been used as a measure of quality of life.</w:t>
      </w:r>
    </w:p>
    <w:p>
      <w:pPr>
        <w:pStyle w:val="BodyText"/>
      </w:pPr>
      <w:r>
        <w:rPr>
          <w:b/>
          <w:bCs/>
        </w:rPr>
        <w:t xml:space="preserve">Educational Facilities</w:t>
      </w:r>
    </w:p>
    <w:p>
      <w:pPr>
        <w:pStyle w:val="BodyText"/>
      </w:pPr>
      <w:r>
        <w:t xml:space="preserve">It is a known fact that no society can develop above the quality of its human capital. This recognition can be adduced to the high number of educational institutions in Lagos State. Ipakodo/Ebute-Iga communities are blessed with a number of public institutions. These include: Ipakodo Senior Grammar school, Ipakodo Junior Grammar school, Ipakodo primary school for physically challenged children, Ipakodo Junior High school, Ipakodo Senior High school.</w:t>
      </w:r>
    </w:p>
    <w:p>
      <w:pPr>
        <w:pStyle w:val="BodyText"/>
      </w:pPr>
      <w:r>
        <w:rPr>
          <w:b/>
          <w:bCs/>
        </w:rPr>
        <w:t xml:space="preserve">Power Supply</w:t>
      </w:r>
    </w:p>
    <w:p>
      <w:pPr>
        <w:pStyle w:val="BodyText"/>
      </w:pPr>
      <w:r>
        <w:t xml:space="preserve">The project host community is well connected to electricity supply from the national grid through Ikeja Electricity Distribution (IEDC) facility with street light also conspicuously noticed along the main access road to the community. However, there are numerous residents utilizing generators to light their premises. Other sources of energy especially for cooking within the project area are Liquefied Petroleum Gas (LPG), firewood, charcoal.</w:t>
      </w:r>
    </w:p>
    <w:p>
      <w:pPr>
        <w:pStyle w:val="BodyText"/>
      </w:pPr>
      <w:r>
        <w:rPr>
          <w:b/>
          <w:bCs/>
        </w:rPr>
        <w:t xml:space="preserve">Transportation</w:t>
      </w:r>
    </w:p>
    <w:p>
      <w:pPr>
        <w:pStyle w:val="BodyText"/>
      </w:pPr>
      <w:r>
        <w:t xml:space="preserve">The means of transportation within the surveyed community are commercial tricycle, Motor cycles (otherwise referred to Okada), cab and medium light buses with the last two serving as major commuter transportation mode from the Lagos metropolitan to the community and vice versa. Many of the residents of the community do not own a car of their own but largely depend on the aforementioned transportation mode.</w:t>
      </w:r>
    </w:p>
    <w:p>
      <w:pPr>
        <w:pStyle w:val="BodyText"/>
      </w:pPr>
      <w:r>
        <w:rPr>
          <w:b/>
          <w:bCs/>
        </w:rPr>
        <w:t xml:space="preserve">Communication</w:t>
      </w:r>
    </w:p>
    <w:p>
      <w:pPr>
        <w:pStyle w:val="BodyText"/>
      </w:pPr>
      <w:r>
        <w:t xml:space="preserve">The project area is well served with communication network and facilities. This has a strong implication on the socio- economic development activities of the area. Mobile phone services like Globacom, Airtel, 9Mobile, MTN are present in the area. All these facilities will facilitate communication during the implementation and operational phase of the project.</w:t>
      </w:r>
    </w:p>
    <w:p>
      <w:pPr>
        <w:pStyle w:val="BodyText"/>
      </w:pPr>
      <w:r>
        <w:rPr>
          <w:b/>
          <w:bCs/>
        </w:rPr>
        <w:t xml:space="preserve">4.16 Community Health Environment and Related Issues</w:t>
      </w:r>
    </w:p>
    <w:p>
      <w:pPr>
        <w:pStyle w:val="BodyText"/>
      </w:pPr>
      <w:r>
        <w:rPr>
          <w:b/>
          <w:bCs/>
        </w:rPr>
        <w:t xml:space="preserve">Water Supply</w:t>
      </w:r>
    </w:p>
    <w:p>
      <w:pPr>
        <w:pStyle w:val="BodyText"/>
      </w:pPr>
      <w:r>
        <w:t xml:space="preserve">Access to portable water is one of the Sustainable Development Goals and is measured by the percentage of the population with safe drinking water in their dwelling or located within a convenient distance from the user’s dwelling (UN 1996). According to the United Nations, safe water includes treated surface waters and untreated but uncontaminated water such as that from protected boreholes, springs and sanitary wells. The community has no public water supply as most of the residents obtain water supply from well and borehole systems dug within their premises.</w:t>
      </w:r>
    </w:p>
    <w:p>
      <w:pPr>
        <w:pStyle w:val="BodyText"/>
      </w:pPr>
      <w:r>
        <w:t xml:space="preserve">Finding during the FGD revealed that water from these two facilities are not drinkable as most premises owner cannot afford the required expensive treatment process that can make the water safe for drinking. Water from these facilities are usually used for cooking, washing and other domestic related activities. The well water systems in most cases are located in an open spaces in front of the premises with an unrestricted access to the facility by neighbours. The residents claimed to rely on sachet water and other treated bottled like water for drinking purposes within the community.</w:t>
      </w:r>
    </w:p>
    <w:p>
      <w:pPr>
        <w:pStyle w:val="BodyText"/>
      </w:pPr>
      <w:r>
        <w:rPr>
          <w:b/>
          <w:bCs/>
        </w:rPr>
        <w:t xml:space="preserve">Health Care Facilities, Morbidity Patterns and Health Management:</w:t>
      </w:r>
    </w:p>
    <w:p>
      <w:pPr>
        <w:pStyle w:val="BodyText"/>
      </w:pPr>
      <w:r>
        <w:t xml:space="preserve">Health is a state of complete physical, mental and social wellbeing, without any form of infirmity. In examining development in the health domain, the main issues vital to the health of the citizenry include access of the people to social and health facilities, availability of health facilities, availability of health care services, survival chances and the issue of reproductive health. The measurement of access to health care services is based on the number of health facilities per 1000 people. In other words, accessibility to health care services is conceptualized on the number of health and service centers (primary, secondary and tertiary) available per 1000 people. The life expectancy estimates for Lagos State is the same as the national estimate.</w:t>
      </w:r>
    </w:p>
    <w:p>
      <w:pPr>
        <w:pStyle w:val="BodyText"/>
      </w:pPr>
      <w:r>
        <w:t xml:space="preserve">The world Health Organization (W.H.O) in its World Health Statistics 2006 estimated that life expectancy for men in Nigeria are 42 years and 47 years for women. Critically, fertility of the populace is important and is best measured by the Total Fertility Rate (TFR), which is an indication of the total number of children a woman is estimated to have in her productive lifetime. Existence of precise estimates of the TFR values for this L.G.A could not be ascertained as no values were available, however, the National Bureau of Statistics estimates the value for the South-West Geo Political Zone as 4.6 while the national average is 5.25 children born / woman. (Annual Abstract of Statistics, 2013).</w:t>
      </w:r>
    </w:p>
    <w:p>
      <w:pPr>
        <w:pStyle w:val="BodyText"/>
      </w:pPr>
      <w:r>
        <w:rPr>
          <w:b/>
          <w:bCs/>
        </w:rPr>
        <w:t xml:space="preserve">Table 4.41: Under 5 Mortality and Maternal Mortality Ratio (MMR) per 100,000 in the various geo-political zones of Nigeria</w:t>
      </w:r>
      <w:r>
        <w:t xml:space="preserve"> </w:t>
      </w:r>
      <w:r>
        <w:t xml:space="preserve">| Geo-political Zones | Number Under 5 Mortality per 1000 | Number of Maternal Mortality Ratio (MMR) per 100,000 |</w:t>
      </w:r>
      <w:r>
        <w:t xml:space="preserve"> </w:t>
      </w:r>
      <w:r>
        <w:t xml:space="preserve">| :— | :— | :— |</w:t>
      </w:r>
      <w:r>
        <w:t xml:space="preserve"> </w:t>
      </w:r>
      <w:r>
        <w:t xml:space="preserve">| North-west Zone | 269 Children | 1549 Women |</w:t>
      </w:r>
      <w:r>
        <w:t xml:space="preserve"> </w:t>
      </w:r>
      <w:r>
        <w:t xml:space="preserve">| North-East Zone | 260 Children | 1026 Women |</w:t>
      </w:r>
      <w:r>
        <w:t xml:space="preserve"> </w:t>
      </w:r>
      <w:r>
        <w:t xml:space="preserve">| South-West Zone | 176 Children | 286 Women |</w:t>
      </w:r>
      <w:r>
        <w:t xml:space="preserve"> </w:t>
      </w:r>
      <w:r>
        <w:t xml:space="preserve">| South-East Zone | 103 Children | 165 Women |</w:t>
      </w:r>
      <w:r>
        <w:t xml:space="preserve"> </w:t>
      </w:r>
      <w:r>
        <w:rPr>
          <w:i/>
          <w:iCs/>
        </w:rPr>
        <w:t xml:space="preserve">Source: UNICEF Child Malnutrition and Mortality in Nigeria, Report 2013</w:t>
      </w:r>
    </w:p>
    <w:p>
      <w:pPr>
        <w:pStyle w:val="BodyText"/>
      </w:pPr>
      <w:r>
        <w:t xml:space="preserve">The community has no presence of public hospital. The available private medical center in the area is relatively expensive for the residents. Therefore, most residents who desire to seek medical assistance usually attend Badagry General Hospital which is located at an estimated 4.5km away from the community for treatment.</w:t>
      </w:r>
    </w:p>
    <w:p>
      <w:pPr>
        <w:pStyle w:val="BodyText"/>
      </w:pPr>
      <w:r>
        <w:rPr>
          <w:b/>
          <w:bCs/>
        </w:rPr>
        <w:t xml:space="preserve">Basic Sanitation / Waste Management</w:t>
      </w:r>
    </w:p>
    <w:p>
      <w:pPr>
        <w:pStyle w:val="BodyText"/>
      </w:pPr>
      <w:r>
        <w:t xml:space="preserve">According to the WHO, sanitation is defined as facilities and services for the safe disposal of human urine and faeces. The synergy between water and sanitation stems from the fact that both work together to reduce the pathogen load in the ambient environment, and in the interruption of the transmission of the pathogens. The accumulation of waste products and their indiscriminate disposal represent a grave hazard to health of the general populace. Systems of waste disposals are designed to eliminate these hazards. Access to basic sanitation is conceptualized on the proportion of the total population with access to sanitary facilities for human waste disposal in the dwelling or immediate vicinity. Ideally, there should be at least one latrine for each family, and the facility should always be kept clean. The environment is well maintained and attractive. Most parts of the estate are well landscaped and there are green areas in front of houses.</w:t>
      </w:r>
    </w:p>
    <w:p>
      <w:pPr>
        <w:pStyle w:val="BodyText"/>
      </w:pPr>
      <w:r>
        <w:t xml:space="preserve">Most homes within the study area have good toilet facilities. Personal water closet was the commonest method (99.9%) for sewage disposal in the households. Generally, observation show that refuse disposal practices is fair. Waste management in the study area is handled by private waste management concessioner approved by the Lagos state Waste Management Authority. According to the study by Obianuju B, et al (2018), Lagos produces 13 million Kg of solid wastes every day without adequate solid waste handling facilities.</w:t>
      </w:r>
    </w:p>
    <w:p>
      <w:pPr>
        <w:pStyle w:val="BodyText"/>
      </w:pPr>
      <w:r>
        <w:rPr>
          <w:b/>
          <w:bCs/>
        </w:rPr>
        <w:t xml:space="preserve">Housing In the Project Area</w:t>
      </w:r>
    </w:p>
    <w:p>
      <w:pPr>
        <w:pStyle w:val="BodyText"/>
      </w:pPr>
      <w:r>
        <w:t xml:space="preserve">The provision of good housing is an important aspect of environmental health as it represents a significant part of man’s environment. The project area is rural community with most houses still representing houses expected to see in rural areas. The houses within the project are of low quality structures that can be compared with some structural designs in a typical rural community across the Lagos State.</w:t>
      </w:r>
    </w:p>
    <w:p>
      <w:pPr>
        <w:pStyle w:val="BodyText"/>
      </w:pPr>
      <w:r>
        <w:rPr>
          <w:b/>
          <w:bCs/>
        </w:rPr>
        <w:t xml:space="preserve">Diseases Prevalence and Pattern</w:t>
      </w:r>
    </w:p>
    <w:p>
      <w:pPr>
        <w:pStyle w:val="BodyText"/>
      </w:pPr>
      <w:r>
        <w:t xml:space="preserve">Nigeria reportedly has high rates of infectious diseases, including HIV, malaria, Yellow fever, rabies, Hepatitis and Meningitis (CIA Fact-book 2010). According to the World Bank, in 2009, 4% percent of the population (aged 15-49) were infected with HIV, with higher rates of infection for women (3%) than for men (1%) (World Bank, 2010). Maternal mortality was estimated in 2008 to be 545 deaths per 100,000 live births (World Bank, 2010).</w:t>
      </w:r>
    </w:p>
    <w:p>
      <w:pPr>
        <w:pStyle w:val="BodyText"/>
      </w:pPr>
      <w:r>
        <w:t xml:space="preserve">The W.H.O reports that in 2004, there were 5.0 deaths hospital beds per 10,000 people (W.H.O 2011). Nigeria’s crude birth rate in 2009 was 40 per 1,000 people. The total fertility rate in 2009 was 6 births per woman (World Bank, 2010). Majority of the participants in the study area expressed a view that the general health status in the area is typical of that in Lagos State, which in turn is similar to the rest of Nigeria. Common illnesses mentioned included rheumatism, arthritis, malaria fever, typhoid, cough, skin conditions, diarrhea, pneumonia and respiratory tract infections.</w:t>
      </w:r>
    </w:p>
    <w:p>
      <w:pPr>
        <w:pStyle w:val="BodyText"/>
      </w:pPr>
      <w:r>
        <w:t xml:space="preserve">The Focused Group Discussions (FGDs) conducted revealed that there was no incidence of HIV and Aids within the locality; however, it is recognized that this may be inaccurate owing to the social stigma associated with HIV/AIDS syndrome in many parts of the world especially Africa. With respect to STD like HIV, sexual risks behaviours such as multiple sexual partnerships, causal and unprotected sexual relationship, patronage of prostitutes as well as the use of illicit drugs and alcohol could be responsible. Table 4.42 shows the common diseases and their causes within the study area.</w:t>
      </w:r>
    </w:p>
    <w:p>
      <w:pPr>
        <w:pStyle w:val="BodyText"/>
      </w:pPr>
      <w:r>
        <w:rPr>
          <w:b/>
          <w:bCs/>
        </w:rPr>
        <w:t xml:space="preserve">Table 4.42: Common diseases within the study Area</w:t>
      </w:r>
      <w:r>
        <w:t xml:space="preserve"> </w:t>
      </w:r>
      <w:r>
        <w:t xml:space="preserve">| Diseases | Predisposing Factors |</w:t>
      </w:r>
      <w:r>
        <w:t xml:space="preserve"> </w:t>
      </w:r>
      <w:r>
        <w:t xml:space="preserve">| :— | :— |</w:t>
      </w:r>
      <w:r>
        <w:t xml:space="preserve"> </w:t>
      </w:r>
      <w:r>
        <w:t xml:space="preserve">| Malaria | Bushes that provide mosquitoes breeding grounds. Stagnant water that provide breeding grounds for mosquitoes |</w:t>
      </w:r>
      <w:r>
        <w:t xml:space="preserve"> </w:t>
      </w:r>
      <w:r>
        <w:t xml:space="preserve">| Typhoid | Fecal contamination of source of drinking water. Poor Sanitary Conditions that contribute to fecal contamination. |</w:t>
      </w:r>
      <w:r>
        <w:t xml:space="preserve"> </w:t>
      </w:r>
      <w:r>
        <w:t xml:space="preserve">| Skin Conditions | Poor sanitation and personal hygiene practices that contribute to the spread of infection. |</w:t>
      </w:r>
      <w:r>
        <w:t xml:space="preserve"> </w:t>
      </w:r>
      <w:r>
        <w:t xml:space="preserve">| Diarrhea | Poor sanitation and personal hygiene practices that contribute to contamination |</w:t>
      </w:r>
      <w:r>
        <w:t xml:space="preserve"> </w:t>
      </w:r>
      <w:r>
        <w:t xml:space="preserve">| Pneumonia | Poor sanitation and personal hygiene practices that contribute to the spread of infection. Inadequate clothing and poor housing that contribute to incubation. |</w:t>
      </w:r>
      <w:r>
        <w:t xml:space="preserve"> </w:t>
      </w:r>
      <w:r>
        <w:t xml:space="preserve">| Respiratory Tract Infection | Over-crowding and poor sanitation. Indoor Air Pollution |</w:t>
      </w:r>
      <w:r>
        <w:t xml:space="preserve"> </w:t>
      </w:r>
      <w:r>
        <w:t xml:space="preserve">| Physical Deformities | Absence/Lack of Immunization. |</w:t>
      </w:r>
    </w:p>
    <w:p>
      <w:pPr>
        <w:pStyle w:val="BodyText"/>
      </w:pPr>
      <w:r>
        <w:rPr>
          <w:b/>
          <w:bCs/>
        </w:rPr>
        <w:t xml:space="preserve">4.17 Public Perception, Concerns of the Public about the Project</w:t>
      </w:r>
    </w:p>
    <w:p>
      <w:pPr>
        <w:pStyle w:val="BodyText"/>
      </w:pPr>
      <w:r>
        <w:t xml:space="preserve">The local community was keen to talk to the EIA field team on the proposed project and they were appreciative of the fact that the field team engaged them in Focus Group Discussion and also involved them in responding to the questionnaire in a consultative manner. The people encountered participated actively in raising their concerns and they expressed their hope that lawful procedures will be taken into consideration during the project implementation. The household respondents expressed various opinions about the proposed Container Terminal development project with more than half making favourable comments. The household respondents had more favourable opinions than the Key Informants. The reasons adduced by those in support of the project includes the following:</w:t>
      </w:r>
      <w:r>
        <w:t xml:space="preserve"> </w:t>
      </w:r>
      <w:r>
        <w:t xml:space="preserve">i. The proposed project will lead to further development of the community and the project area</w:t>
      </w:r>
      <w:r>
        <w:t xml:space="preserve"> </w:t>
      </w:r>
      <w:r>
        <w:t xml:space="preserve">ii. The proposed project will create employment opportunities and improvement in the socio-economic life of the people of the community.</w:t>
      </w:r>
      <w:r>
        <w:t xml:space="preserve"> </w:t>
      </w:r>
      <w:r>
        <w:t xml:space="preserve">iii. The project will boost businesses and reduce social vises as some idled hands will be employed especially during the site clearing and construction phase</w:t>
      </w:r>
    </w:p>
    <w:p>
      <w:pPr>
        <w:pStyle w:val="BodyText"/>
      </w:pPr>
      <w:r>
        <w:t xml:space="preserve">However, one-fifth of the respondents had negative opinion about the project. These categories of respondents expressed dissenting views about the project as follows:</w:t>
      </w:r>
      <w:r>
        <w:t xml:space="preserve"> </w:t>
      </w:r>
      <w:r>
        <w:t xml:space="preserve">* The project may encourage traffic bottleneck around the project area particularly along the Lagos-Badagry Expressway due to movement of cars and trucks supply goods from the Badagry Deep sea port in/out of the estate premises;</w:t>
      </w:r>
      <w:r>
        <w:t xml:space="preserve"> </w:t>
      </w:r>
      <w:r>
        <w:t xml:space="preserve">* The project construction phase may increase STD infection in the project area due to influx of people seeking to patronize the company handling the construction work</w:t>
      </w:r>
      <w:r>
        <w:t xml:space="preserve"> </w:t>
      </w:r>
      <w:r>
        <w:t xml:space="preserve">* The project may contribute to excessive consumption of resources such as energy, water and thus contributing to emission of greenhouse gases to the project area.</w:t>
      </w:r>
      <w:r>
        <w:t xml:space="preserve"> </w:t>
      </w:r>
      <w:r>
        <w:t xml:space="preserve">* The project may lead to increase in rent and general prices of commodities and services. Although, this is debatable whether this is generally positive or negative. For instance, the landlords would probably be happy with increase in rent while tenants will be unhappy about the same</w:t>
      </w:r>
      <w:r>
        <w:t xml:space="preserve"> </w:t>
      </w:r>
      <w:r>
        <w:t xml:space="preserve">* The project could lead to increase in air-borne diseases arising from the construction works</w:t>
      </w:r>
      <w:r>
        <w:t xml:space="preserve"> </w:t>
      </w:r>
      <w:r>
        <w:t xml:space="preserve">* Increased in noise impact due to the use of construction machinery and equipment</w:t>
      </w:r>
      <w:r>
        <w:t xml:space="preserve"> </w:t>
      </w:r>
      <w:r>
        <w:t xml:space="preserve">* Owners of some make shift shops located on the setback of Lagos-Badagry Highway in front of the proposed project site also expressed concerns that the project development will lead to demolition of their shops and that the proponent may count them worthy of compensation of loss of their means of livelihood</w:t>
      </w:r>
    </w:p>
    <w:p>
      <w:pPr>
        <w:pStyle w:val="BodyText"/>
      </w:pPr>
      <w:r>
        <w:t xml:space="preserve">However, the stakeholders proposed some measures to mitigate their concerns on the project and this includes the following:</w:t>
      </w:r>
      <w:r>
        <w:t xml:space="preserve"> </w:t>
      </w:r>
      <w:r>
        <w:t xml:space="preserve">* The proponent should show sincerity of purpose, openness, dialogue and carry all concerned stakeholders along in the course of implementing the project as this is expected to bring the foundation for a good proponent- community relationship.</w:t>
      </w:r>
      <w:r>
        <w:t xml:space="preserve"> </w:t>
      </w:r>
      <w:r>
        <w:t xml:space="preserve">* Provision of employment and youth empowerment for people of the project area</w:t>
      </w:r>
      <w:r>
        <w:t xml:space="preserve"> </w:t>
      </w:r>
      <w:r>
        <w:t xml:space="preserve">* Effective monitoring of waste reduction of environmental nuisances that may be created during the construction and residence/operation phase of the project.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2026-02-05T11:12:13Z</dcterms:created>
  <dcterms:modified xsi:type="dcterms:W3CDTF">2026-02-05T11:12:13Z</dcterms:modified>
</cp:coreProperties>
</file>

<file path=docProps/custom.xml><?xml version="1.0" encoding="utf-8"?>
<Properties xmlns="http://schemas.openxmlformats.org/officeDocument/2006/custom-properties" xmlns:vt="http://schemas.openxmlformats.org/officeDocument/2006/docPropsVTypes"/>
</file>