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human-resources-policy-manual"/>
    <w:p>
      <w:pPr>
        <w:pStyle w:val="Heading1"/>
      </w:pPr>
      <w:r>
        <w:t xml:space="preserve">Human Resources Policy Manual</w:t>
      </w:r>
    </w:p>
    <w:p>
      <w:pPr>
        <w:pStyle w:val="FirstParagraph"/>
      </w:pPr>
      <w:r>
        <w:rPr>
          <w:b/>
          <w:bCs/>
        </w:rPr>
        <w:t xml:space="preserve">Company</w:t>
      </w:r>
      <w:r>
        <w:t xml:space="preserve">: GK &amp; A Logistics Services Limited</w:t>
      </w:r>
      <w:r>
        <w:br/>
      </w:r>
      <w:r>
        <w:rPr>
          <w:b/>
          <w:bCs/>
        </w:rPr>
        <w:t xml:space="preserve">Effective Date</w:t>
      </w:r>
      <w:r>
        <w:t xml:space="preserve">: 01 June 2025</w:t>
      </w:r>
      <w:r>
        <w:br/>
      </w:r>
      <w:r>
        <w:rPr>
          <w:b/>
          <w:bCs/>
        </w:rPr>
        <w:t xml:space="preserve">Approved By</w:t>
      </w:r>
      <w:r>
        <w:t xml:space="preserve">: Abieyuwa Agabu, Head of HR</w:t>
      </w:r>
      <w:r>
        <w:br/>
      </w:r>
      <w:r>
        <w:rPr>
          <w:b/>
          <w:bCs/>
        </w:rPr>
        <w:t xml:space="preserve">Approval Date</w:t>
      </w:r>
      <w:r>
        <w:t xml:space="preserve">: August 25, 2025</w:t>
      </w:r>
      <w:r>
        <w:br/>
      </w:r>
      <w:r>
        <w:rPr>
          <w:b/>
          <w:bCs/>
        </w:rPr>
        <w:t xml:space="preserve">Next Review</w:t>
      </w:r>
      <w:r>
        <w:t xml:space="preserve">: 01 June 2026 (annual)</w:t>
      </w:r>
      <w:r>
        <w:br/>
      </w:r>
      <w:r>
        <w:rPr>
          <w:b/>
          <w:bCs/>
        </w:rPr>
        <w:t xml:space="preserve">Scope</w:t>
      </w:r>
      <w:r>
        <w:t xml:space="preserve">: All employees, contractors and visitors at NPA Lighter Terminal, Ikorodu, including bonded e-commerce operations.</w:t>
      </w:r>
    </w:p>
    <w:bookmarkStart w:id="9" w:name="table-of-contents"/>
    <w:p>
      <w:pPr>
        <w:pStyle w:val="Heading2"/>
      </w:pPr>
      <w:r>
        <w:t xml:space="preserve">Table of Contents</w:t>
      </w:r>
    </w:p>
    <w:p>
      <w:pPr>
        <w:pStyle w:val="Compact"/>
        <w:numPr>
          <w:ilvl w:val="0"/>
          <w:numId w:val="1001"/>
        </w:numPr>
      </w:pPr>
      <w:hyperlink w:anchor="human-resources-policy-manual">
        <w:r>
          <w:rPr>
            <w:rStyle w:val="Hyperlink"/>
          </w:rPr>
          <w:t xml:space="preserve">Human Resources Policy Manual</w:t>
        </w:r>
      </w:hyperlink>
    </w:p>
    <w:p>
      <w:pPr>
        <w:pStyle w:val="Compact"/>
        <w:numPr>
          <w:ilvl w:val="1"/>
          <w:numId w:val="1002"/>
        </w:numPr>
      </w:pPr>
      <w:hyperlink w:anchor="table-of-contents">
        <w:r>
          <w:rPr>
            <w:rStyle w:val="Hyperlink"/>
          </w:rPr>
          <w:t xml:space="preserve">Table of Contents</w:t>
        </w:r>
      </w:hyperlink>
    </w:p>
    <w:p>
      <w:pPr>
        <w:pStyle w:val="Compact"/>
        <w:numPr>
          <w:ilvl w:val="1"/>
          <w:numId w:val="1002"/>
        </w:numPr>
      </w:pPr>
      <w:hyperlink w:anchor="X17d5d45b95861cdffcabe8d1c49ea414903158e">
        <w:r>
          <w:rPr>
            <w:rStyle w:val="Hyperlink"/>
          </w:rPr>
          <w:t xml:space="preserve">1. Policy Statement and Legal Compliance</w:t>
        </w:r>
      </w:hyperlink>
    </w:p>
    <w:p>
      <w:pPr>
        <w:pStyle w:val="Compact"/>
        <w:numPr>
          <w:ilvl w:val="1"/>
          <w:numId w:val="1002"/>
        </w:numPr>
      </w:pPr>
      <w:hyperlink w:anchor="X5de94ed30546d291fb728f22e4976433bb4f9d5">
        <w:r>
          <w:rPr>
            <w:rStyle w:val="Hyperlink"/>
          </w:rPr>
          <w:t xml:space="preserve">2. Governance and Accountability</w:t>
        </w:r>
      </w:hyperlink>
    </w:p>
    <w:p>
      <w:pPr>
        <w:pStyle w:val="Compact"/>
        <w:numPr>
          <w:ilvl w:val="1"/>
          <w:numId w:val="1002"/>
        </w:numPr>
      </w:pPr>
      <w:hyperlink w:anchor="Xbc5edf38f357d6c7269917b85c82af16607edff">
        <w:r>
          <w:rPr>
            <w:rStyle w:val="Hyperlink"/>
          </w:rPr>
          <w:t xml:space="preserve">3. Recruitment, Selection and Equal Opportunity</w:t>
        </w:r>
      </w:hyperlink>
    </w:p>
    <w:p>
      <w:pPr>
        <w:pStyle w:val="Compact"/>
        <w:numPr>
          <w:ilvl w:val="1"/>
          <w:numId w:val="1002"/>
        </w:numPr>
      </w:pPr>
      <w:hyperlink w:anchor="Xbbde0a3d28b921fe5e2a5682c7a3f70c7e6fb5b">
        <w:r>
          <w:rPr>
            <w:rStyle w:val="Hyperlink"/>
          </w:rPr>
          <w:t xml:space="preserve">4. Employment Classification and Contracts</w:t>
        </w:r>
      </w:hyperlink>
    </w:p>
    <w:p>
      <w:pPr>
        <w:pStyle w:val="Compact"/>
        <w:numPr>
          <w:ilvl w:val="1"/>
          <w:numId w:val="1002"/>
        </w:numPr>
      </w:pPr>
      <w:hyperlink w:anchor="X7ecaf136d24849c6e98b3474b48a9c89f16176b">
        <w:r>
          <w:rPr>
            <w:rStyle w:val="Hyperlink"/>
          </w:rPr>
          <w:t xml:space="preserve">5. Working Hours, Shifts and Overtime</w:t>
        </w:r>
      </w:hyperlink>
    </w:p>
    <w:p>
      <w:pPr>
        <w:pStyle w:val="Compact"/>
        <w:numPr>
          <w:ilvl w:val="1"/>
          <w:numId w:val="1002"/>
        </w:numPr>
      </w:pPr>
      <w:hyperlink w:anchor="Xb46cedfe9ead39f0f35b0568a18b774a73e439c">
        <w:r>
          <w:rPr>
            <w:rStyle w:val="Hyperlink"/>
          </w:rPr>
          <w:t xml:space="preserve">6. Compensation, Benefits and Pay Equity</w:t>
        </w:r>
      </w:hyperlink>
    </w:p>
    <w:p>
      <w:pPr>
        <w:pStyle w:val="Compact"/>
        <w:numPr>
          <w:ilvl w:val="1"/>
          <w:numId w:val="1002"/>
        </w:numPr>
      </w:pPr>
      <w:hyperlink w:anchor="X5a3b32934fa161141539564599058dcd93c5844">
        <w:r>
          <w:rPr>
            <w:rStyle w:val="Hyperlink"/>
          </w:rPr>
          <w:t xml:space="preserve">7. Diversity, Equity and Inclusion</w:t>
        </w:r>
      </w:hyperlink>
    </w:p>
    <w:p>
      <w:pPr>
        <w:pStyle w:val="Compact"/>
        <w:numPr>
          <w:ilvl w:val="1"/>
          <w:numId w:val="1002"/>
        </w:numPr>
      </w:pPr>
      <w:hyperlink w:anchor="Xb8ed003637f1dfab3daa0f48e00fa8229381fe4">
        <w:r>
          <w:rPr>
            <w:rStyle w:val="Hyperlink"/>
          </w:rPr>
          <w:t xml:space="preserve">8. Anti-Harassment, Bullying and Sexual Misconduct</w:t>
        </w:r>
      </w:hyperlink>
    </w:p>
    <w:p>
      <w:pPr>
        <w:pStyle w:val="Compact"/>
        <w:numPr>
          <w:ilvl w:val="1"/>
          <w:numId w:val="1002"/>
        </w:numPr>
      </w:pPr>
      <w:hyperlink w:anchor="X591393f74f104e2ac49fa87e554b39ce34120de">
        <w:r>
          <w:rPr>
            <w:rStyle w:val="Hyperlink"/>
          </w:rPr>
          <w:t xml:space="preserve">9. Health, Safety and Environment (HSE)</w:t>
        </w:r>
      </w:hyperlink>
    </w:p>
    <w:p>
      <w:pPr>
        <w:pStyle w:val="Compact"/>
        <w:numPr>
          <w:ilvl w:val="1"/>
          <w:numId w:val="1002"/>
        </w:numPr>
      </w:pPr>
      <w:hyperlink w:anchor="Xe676e6586050158370478b4d32a94c1b8a8b15e">
        <w:r>
          <w:rPr>
            <w:rStyle w:val="Hyperlink"/>
          </w:rPr>
          <w:t xml:space="preserve">10. Training and Development</w:t>
        </w:r>
      </w:hyperlink>
    </w:p>
    <w:p>
      <w:pPr>
        <w:pStyle w:val="Compact"/>
        <w:numPr>
          <w:ilvl w:val="1"/>
          <w:numId w:val="1002"/>
        </w:numPr>
      </w:pPr>
      <w:hyperlink w:anchor="Xf86da5e7da511e73bbac6245ae4a8d613cb9ad7">
        <w:r>
          <w:rPr>
            <w:rStyle w:val="Hyperlink"/>
          </w:rPr>
          <w:t xml:space="preserve">11. Performance Management and Disciplinary Procedure</w:t>
        </w:r>
      </w:hyperlink>
    </w:p>
    <w:p>
      <w:pPr>
        <w:pStyle w:val="Compact"/>
        <w:numPr>
          <w:ilvl w:val="1"/>
          <w:numId w:val="1002"/>
        </w:numPr>
      </w:pPr>
      <w:hyperlink w:anchor="X1ea02d8570dcfdcd05f126d69a6c64a4ebd369e">
        <w:r>
          <w:rPr>
            <w:rStyle w:val="Hyperlink"/>
          </w:rPr>
          <w:t xml:space="preserve">12. Grievance and Whistleblowing</w:t>
        </w:r>
      </w:hyperlink>
    </w:p>
    <w:p>
      <w:pPr>
        <w:pStyle w:val="Compact"/>
        <w:numPr>
          <w:ilvl w:val="1"/>
          <w:numId w:val="1002"/>
        </w:numPr>
      </w:pPr>
      <w:hyperlink w:anchor="X2fda886dd77efdcc1388967c6386481c5360782">
        <w:r>
          <w:rPr>
            <w:rStyle w:val="Hyperlink"/>
          </w:rPr>
          <w:t xml:space="preserve">13. Freedom of Association and Collective Bargaining</w:t>
        </w:r>
      </w:hyperlink>
    </w:p>
    <w:p>
      <w:pPr>
        <w:pStyle w:val="Compact"/>
        <w:numPr>
          <w:ilvl w:val="1"/>
          <w:numId w:val="1002"/>
        </w:numPr>
      </w:pPr>
      <w:hyperlink w:anchor="X15dbe1d0e9417469fb39513e268c39a7160fa5d">
        <w:r>
          <w:rPr>
            <w:rStyle w:val="Hyperlink"/>
          </w:rPr>
          <w:t xml:space="preserve">14. Prohibition of Child, Forced and Trafficked Labour</w:t>
        </w:r>
      </w:hyperlink>
    </w:p>
    <w:p>
      <w:pPr>
        <w:pStyle w:val="Compact"/>
        <w:numPr>
          <w:ilvl w:val="1"/>
          <w:numId w:val="1002"/>
        </w:numPr>
      </w:pPr>
      <w:hyperlink w:anchor="X66d4dcaa44dec99ebb7c02344e472042eb48132">
        <w:r>
          <w:rPr>
            <w:rStyle w:val="Hyperlink"/>
          </w:rPr>
          <w:t xml:space="preserve">15. Data Protection and Confidentiality</w:t>
        </w:r>
      </w:hyperlink>
    </w:p>
    <w:p>
      <w:pPr>
        <w:pStyle w:val="Compact"/>
        <w:numPr>
          <w:ilvl w:val="1"/>
          <w:numId w:val="1002"/>
        </w:numPr>
      </w:pPr>
      <w:hyperlink w:anchor="X8190f4d6ce665f9c191a277169b913c654c6418">
        <w:r>
          <w:rPr>
            <w:rStyle w:val="Hyperlink"/>
          </w:rPr>
          <w:t xml:space="preserve">16. Security, Search and Asset Protection</w:t>
        </w:r>
      </w:hyperlink>
    </w:p>
    <w:p>
      <w:pPr>
        <w:pStyle w:val="Compact"/>
        <w:numPr>
          <w:ilvl w:val="1"/>
          <w:numId w:val="1002"/>
        </w:numPr>
      </w:pPr>
      <w:hyperlink w:anchor="X412dcf54a7a8cfcffbee61095439bbdf71e71e4">
        <w:r>
          <w:rPr>
            <w:rStyle w:val="Hyperlink"/>
          </w:rPr>
          <w:t xml:space="preserve">17. Contractors and Supply-Chain Labour Standards</w:t>
        </w:r>
      </w:hyperlink>
    </w:p>
    <w:p>
      <w:pPr>
        <w:pStyle w:val="Compact"/>
        <w:numPr>
          <w:ilvl w:val="1"/>
          <w:numId w:val="1002"/>
        </w:numPr>
      </w:pPr>
      <w:hyperlink w:anchor="X628d7c7e46f435aa0f7662957f796aa451d61fc">
        <w:r>
          <w:rPr>
            <w:rStyle w:val="Hyperlink"/>
          </w:rPr>
          <w:t xml:space="preserve">18. Ethics and Anti-Corruption</w:t>
        </w:r>
      </w:hyperlink>
    </w:p>
    <w:p>
      <w:pPr>
        <w:pStyle w:val="Compact"/>
        <w:numPr>
          <w:ilvl w:val="1"/>
          <w:numId w:val="1002"/>
        </w:numPr>
      </w:pPr>
      <w:hyperlink w:anchor="Xb5704625fa1a04d116422f3060517358e2268a8">
        <w:r>
          <w:rPr>
            <w:rStyle w:val="Hyperlink"/>
          </w:rPr>
          <w:t xml:space="preserve">19. Communication, Acknowledgment and Records</w:t>
        </w:r>
      </w:hyperlink>
    </w:p>
    <w:p>
      <w:pPr>
        <w:pStyle w:val="Compact"/>
        <w:numPr>
          <w:ilvl w:val="1"/>
          <w:numId w:val="1002"/>
        </w:numPr>
      </w:pPr>
      <w:hyperlink w:anchor="X30314d0cf44212adbf2bd4fe18570149f67f1ba">
        <w:r>
          <w:rPr>
            <w:rStyle w:val="Hyperlink"/>
          </w:rPr>
          <w:t xml:space="preserve">20. Review and Continuous Improvement</w:t>
        </w:r>
      </w:hyperlink>
    </w:p>
    <w:p>
      <w:pPr>
        <w:pStyle w:val="Compact"/>
        <w:numPr>
          <w:ilvl w:val="1"/>
          <w:numId w:val="1002"/>
        </w:numPr>
      </w:pPr>
      <w:hyperlink w:anchor="sign-off">
        <w:r>
          <w:rPr>
            <w:rStyle w:val="Hyperlink"/>
          </w:rPr>
          <w:t xml:space="preserve">Sign-Off</w:t>
        </w:r>
      </w:hyperlink>
    </w:p>
    <w:p>
      <w:pPr>
        <w:pStyle w:val="Compact"/>
        <w:numPr>
          <w:ilvl w:val="1"/>
          <w:numId w:val="1002"/>
        </w:numPr>
      </w:pPr>
      <w:hyperlink w:anchor="employee-acknowledgment">
        <w:r>
          <w:rPr>
            <w:rStyle w:val="Hyperlink"/>
          </w:rPr>
          <w:t xml:space="preserve">Employee Acknowledgment</w:t>
        </w:r>
      </w:hyperlink>
    </w:p>
    <w:bookmarkEnd w:id="9"/>
    <w:bookmarkStart w:id="10" w:name="policy-statement-and-legal-compliance"/>
    <w:p>
      <w:pPr>
        <w:pStyle w:val="Heading2"/>
      </w:pPr>
      <w:r>
        <w:t xml:space="preserve">1. Policy Statement and Legal Compliance</w:t>
      </w:r>
    </w:p>
    <w:p>
      <w:pPr>
        <w:pStyle w:val="FirstParagraph"/>
      </w:pPr>
      <w:r>
        <w:t xml:space="preserve">GK &amp; A Logistics Services Limited shall provide a lawful, safe, inclusive and dignified workplace. We comply with Nigerian law (Labour Act, Factories Act, Employees’ Compensation Act 2010, Pension Reform Act 2014, Industrial Training Fund Act, National Health Insurance Authority Act 2022, Nigeria Data Protection Act 2023) and applicable port, customs and bonded-warehouse regulations. We align with ILO core conventions and our ESG commitments effective from 01 June 2025.</w:t>
      </w:r>
    </w:p>
    <w:p>
      <w:pPr>
        <w:pStyle w:val="BodyText"/>
      </w:pPr>
      <w:r>
        <w:t xml:space="preserve">Zero tolerance for discrimination, harassment, retaliation, unsafe work practices, child or forced labour, bribery, or data privacy violations.</w:t>
      </w:r>
    </w:p>
    <w:bookmarkEnd w:id="10"/>
    <w:bookmarkStart w:id="11" w:name="governance-and-accountability"/>
    <w:p>
      <w:pPr>
        <w:pStyle w:val="Heading2"/>
      </w:pPr>
      <w:r>
        <w:t xml:space="preserve">2. Governance and Accountability</w:t>
      </w:r>
    </w:p>
    <w:p>
      <w:pPr>
        <w:pStyle w:val="FirstParagraph"/>
      </w:pPr>
      <w:r>
        <w:t xml:space="preserve">Board oversight; MD as executive sponsor; Head of HR as policy custodian; HSE Manager enforces safety provisions. Line managers are accountable for day-to-day compliance. Non-compliance triggers corrective and disciplinary action.</w:t>
      </w:r>
    </w:p>
    <w:p>
      <w:pPr>
        <w:pStyle w:val="BodyText"/>
      </w:pPr>
      <w:r>
        <w:t xml:space="preserve">KPIs tracked quarterly from Q2 2025: TRIR, LTIFR, gender representation, training hours/employee, grievance closure time, pay-equity variance (target &lt;5%).</w:t>
      </w:r>
    </w:p>
    <w:p>
      <w:pPr>
        <w:pStyle w:val="BodyText"/>
      </w:pPr>
      <w:r>
        <w:t xml:space="preserve">Annual policy review on or before 01 June each year, or sooner if laws change.</w:t>
      </w:r>
    </w:p>
    <w:bookmarkEnd w:id="11"/>
    <w:bookmarkStart w:id="12" w:name="X5db00f0bd51fc661bfd3596722c99b3ea1e965c"/>
    <w:p>
      <w:pPr>
        <w:pStyle w:val="Heading2"/>
      </w:pPr>
      <w:r>
        <w:t xml:space="preserve">3. Recruitment, Selection and Equal Opportunity</w:t>
      </w:r>
    </w:p>
    <w:p>
      <w:pPr>
        <w:pStyle w:val="FirstParagraph"/>
      </w:pPr>
      <w:r>
        <w:t xml:space="preserve">Merit-based hiring; equal opportunity for all protected characteristics.</w:t>
      </w:r>
    </w:p>
    <w:p>
      <w:pPr>
        <w:pStyle w:val="BodyText"/>
      </w:pPr>
      <w:r>
        <w:t xml:space="preserve">Minimum employment age 18; no recruitment fees to candidates.</w:t>
      </w:r>
    </w:p>
    <w:p>
      <w:pPr>
        <w:pStyle w:val="BodyText"/>
      </w:pPr>
      <w:r>
        <w:t xml:space="preserve">Background/medical/right-to-work checks for all roles; enhanced vetting for safety-critical and bonded-warehouse roles.</w:t>
      </w:r>
    </w:p>
    <w:p>
      <w:pPr>
        <w:pStyle w:val="BodyText"/>
      </w:pPr>
      <w:r>
        <w:t xml:space="preserve">Target: at least 35% women in supervisory roles by 31 December 2026; progress reported quarterly starting Q2 2025.</w:t>
      </w:r>
    </w:p>
    <w:p>
      <w:pPr>
        <w:pStyle w:val="BodyText"/>
      </w:pPr>
      <w:r>
        <w:t xml:space="preserve">Local hiring prioritized; reasonable accommodation for qualified persons with disabilities.</w:t>
      </w:r>
    </w:p>
    <w:bookmarkEnd w:id="12"/>
    <w:bookmarkStart w:id="13" w:name="employment-classification-and-contracts"/>
    <w:p>
      <w:pPr>
        <w:pStyle w:val="Heading2"/>
      </w:pPr>
      <w:r>
        <w:t xml:space="preserve">4. Employment Classification and Contracts</w:t>
      </w:r>
    </w:p>
    <w:p>
      <w:pPr>
        <w:pStyle w:val="FirstParagraph"/>
      </w:pPr>
      <w:r>
        <w:t xml:space="preserve">Written contracts for all employees specifying role, grade, compensation, benefits, hours and notice periods.</w:t>
      </w:r>
    </w:p>
    <w:p>
      <w:pPr>
        <w:pStyle w:val="BodyText"/>
      </w:pPr>
      <w:r>
        <w:t xml:space="preserve">Probation not to exceed six months; single extension only with written justification and acknowledgment.</w:t>
      </w:r>
    </w:p>
    <w:bookmarkEnd w:id="13"/>
    <w:bookmarkStart w:id="14" w:name="working-hours-shifts-and-overtime"/>
    <w:p>
      <w:pPr>
        <w:pStyle w:val="Heading2"/>
      </w:pPr>
      <w:r>
        <w:t xml:space="preserve">5. Working Hours, Shifts and Overtime</w:t>
      </w:r>
    </w:p>
    <w:p>
      <w:pPr>
        <w:pStyle w:val="FirstParagraph"/>
      </w:pPr>
      <w:r>
        <w:t xml:space="preserve">Hours and shift patterns comply with the Labour Act and terminal/bonded e-commerce operational needs. Fatigue management applies to safety-critical roles.</w:t>
      </w:r>
    </w:p>
    <w:p>
      <w:pPr>
        <w:pStyle w:val="BodyText"/>
      </w:pPr>
      <w:r>
        <w:t xml:space="preserve">Overtime pre-approved and paid at statutory/contractual premium rates. Accurate timekeeping is mandatory.</w:t>
      </w:r>
    </w:p>
    <w:bookmarkEnd w:id="14"/>
    <w:bookmarkStart w:id="15" w:name="compensation-benefits-and-pay-equity"/>
    <w:p>
      <w:pPr>
        <w:pStyle w:val="Heading2"/>
      </w:pPr>
      <w:r>
        <w:t xml:space="preserve">6. Compensation, Benefits and Pay Equity</w:t>
      </w:r>
    </w:p>
    <w:p>
      <w:pPr>
        <w:pStyle w:val="FirstParagraph"/>
      </w:pPr>
      <w:r>
        <w:t xml:space="preserve">Pay at or above national minimum wage with statutory deductions/remittances (PENCOM, NSITF, ITF, NHF, PAYE).</w:t>
      </w:r>
    </w:p>
    <w:p>
      <w:pPr>
        <w:pStyle w:val="BodyText"/>
      </w:pPr>
      <w:r>
        <w:t xml:space="preserve">Benefits include health insurance, pensions and mandated leave (annual, sick, maternity minimum 12 weeks, paternity, bereavement, public holidays).</w:t>
      </w:r>
    </w:p>
    <w:p>
      <w:pPr>
        <w:pStyle w:val="BodyText"/>
      </w:pPr>
      <w:r>
        <w:t xml:space="preserve">Annual pay-equity audit beginning 2025; any gender pay variance above 5% corrected within one payroll cycle after approval.</w:t>
      </w:r>
    </w:p>
    <w:bookmarkEnd w:id="15"/>
    <w:bookmarkStart w:id="16" w:name="diversity-equity-and-inclusion"/>
    <w:p>
      <w:pPr>
        <w:pStyle w:val="Heading2"/>
      </w:pPr>
      <w:r>
        <w:t xml:space="preserve">7. Diversity, Equity and Inclusion</w:t>
      </w:r>
    </w:p>
    <w:p>
      <w:pPr>
        <w:pStyle w:val="FirstParagraph"/>
      </w:pPr>
      <w:r>
        <w:t xml:space="preserve">Respectful, inclusive workplace. Facilities/PPE adapted to ensure safe participation of all employees.</w:t>
      </w:r>
    </w:p>
    <w:p>
      <w:pPr>
        <w:pStyle w:val="BodyText"/>
      </w:pPr>
      <w:r>
        <w:t xml:space="preserve">Women-led safety leadership embedded in HSE supervision; mentorship programs maintained to support female progression into technical and leadership roles.</w:t>
      </w:r>
    </w:p>
    <w:bookmarkEnd w:id="16"/>
    <w:bookmarkStart w:id="17" w:name="X0ca4b8a6bf8a4f8a8fe26335f93d22a87934150"/>
    <w:p>
      <w:pPr>
        <w:pStyle w:val="Heading2"/>
      </w:pPr>
      <w:r>
        <w:t xml:space="preserve">8. Anti-Harassment, Bullying and Sexual Misconduct</w:t>
      </w:r>
    </w:p>
    <w:p>
      <w:pPr>
        <w:pStyle w:val="FirstParagraph"/>
      </w:pPr>
      <w:r>
        <w:t xml:space="preserve">Zero tolerance. Prohibited conduct includes sexual harassment, bullying, intimidation and hostile behaviour.</w:t>
      </w:r>
    </w:p>
    <w:p>
      <w:pPr>
        <w:pStyle w:val="BodyText"/>
      </w:pPr>
      <w:r>
        <w:t xml:space="preserve">Reporting channels: line manager, HR, HSE, or anonymous whistleblowing channel. Retaliation is prohibited.</w:t>
      </w:r>
    </w:p>
    <w:p>
      <w:pPr>
        <w:pStyle w:val="BodyText"/>
      </w:pPr>
      <w:r>
        <w:t xml:space="preserve">Timelines: acknowledgment within 24 hours; preliminary assessment within 3 business days; investigation completed within 10 business days (or communicate extension); corrective action within 5 business days of decision.</w:t>
      </w:r>
    </w:p>
    <w:p>
      <w:pPr>
        <w:pStyle w:val="BodyText"/>
      </w:pPr>
      <w:r>
        <w:t xml:space="preserve">Sanctions range from written warning to termination for gross misconduct. Confidentiality maintained as far as possible.</w:t>
      </w:r>
    </w:p>
    <w:bookmarkEnd w:id="17"/>
    <w:bookmarkStart w:id="18" w:name="health-safety-and-environment-hse"/>
    <w:p>
      <w:pPr>
        <w:pStyle w:val="Heading2"/>
      </w:pPr>
      <w:r>
        <w:t xml:space="preserve">9. Health, Safety and Environment (HSE)</w:t>
      </w:r>
    </w:p>
    <w:p>
      <w:pPr>
        <w:pStyle w:val="FirstParagraph"/>
      </w:pPr>
      <w:r>
        <w:t xml:space="preserve">Stop-work authority for imminent risk. Mandatory compliance with PPE, safe systems of work, LOTO, confined-space, working at height and lifting procedures.</w:t>
      </w:r>
    </w:p>
    <w:p>
      <w:pPr>
        <w:pStyle w:val="BodyText"/>
      </w:pPr>
      <w:r>
        <w:t xml:space="preserve">Safety-critical roles (crane/forklift operators, riggers, barge crews, warehouse equipment operators) require valid certification and scheduled refreshers.</w:t>
      </w:r>
    </w:p>
    <w:p>
      <w:pPr>
        <w:pStyle w:val="BodyText"/>
      </w:pPr>
      <w:r>
        <w:t xml:space="preserve">Drug and alcohol: zero BAC/drug-free for safety-critical roles; random testing may be conducted. Refusal/positive results attract disciplinary action.</w:t>
      </w:r>
    </w:p>
    <w:p>
      <w:pPr>
        <w:pStyle w:val="BodyText"/>
      </w:pPr>
      <w:r>
        <w:t xml:space="preserve">Incident reporting: report all incidents/near misses/hazards within 24 hours; root-cause analysis for recordables within 5 business days; actions tracked to closure.</w:t>
      </w:r>
    </w:p>
    <w:p>
      <w:pPr>
        <w:pStyle w:val="BodyText"/>
      </w:pPr>
      <w:r>
        <w:t xml:space="preserve">Bonded warehouse: strict access control, inventory integrity, CCTV monitoring, and cooperation with Nigeria Customs Service.</w:t>
      </w:r>
    </w:p>
    <w:bookmarkEnd w:id="18"/>
    <w:bookmarkStart w:id="19" w:name="training-and-development"/>
    <w:p>
      <w:pPr>
        <w:pStyle w:val="Heading2"/>
      </w:pPr>
      <w:r>
        <w:t xml:space="preserve">10. Training and Development</w:t>
      </w:r>
    </w:p>
    <w:p>
      <w:pPr>
        <w:pStyle w:val="FirstParagraph"/>
      </w:pPr>
      <w:r>
        <w:t xml:space="preserve">Induction for all new hires within first week starting June 2025. Annual mandatory refreshers: HSE, anti-harassment, ethics/anti-corruption, data privacy.</w:t>
      </w:r>
    </w:p>
    <w:p>
      <w:pPr>
        <w:pStyle w:val="BodyText"/>
      </w:pPr>
      <w:r>
        <w:t xml:space="preserve">Minimum 16 training hours per employee per year from 2025 onward; higher for safety-critical roles.</w:t>
      </w:r>
    </w:p>
    <w:p>
      <w:pPr>
        <w:pStyle w:val="BodyText"/>
      </w:pPr>
      <w:r>
        <w:t xml:space="preserve">Partnerships with accredited trainers (e.g., Women in Maritime Safety) support upskilling and leadership development.</w:t>
      </w:r>
    </w:p>
    <w:bookmarkEnd w:id="19"/>
    <w:bookmarkStart w:id="20" w:name="X348d1cc483a77c0a2821eb4f9d4fb5ad1a241dd"/>
    <w:p>
      <w:pPr>
        <w:pStyle w:val="Heading2"/>
      </w:pPr>
      <w:r>
        <w:t xml:space="preserve">11. Performance Management and Disciplinary Procedure</w:t>
      </w:r>
    </w:p>
    <w:p>
      <w:pPr>
        <w:pStyle w:val="FirstParagraph"/>
      </w:pPr>
      <w:r>
        <w:t xml:space="preserve">Annual appraisals with mid-year reviews starting 2025. PIPs used with clear goals and timelines.</w:t>
      </w:r>
    </w:p>
    <w:p>
      <w:pPr>
        <w:pStyle w:val="BodyText"/>
      </w:pPr>
      <w:r>
        <w:t xml:space="preserve">Progressive discipline: verbal, written, final warning, termination. Summary dismissal for gross misconduct (theft, assault, severe safety breach, fraud, corruption, data breach).</w:t>
      </w:r>
    </w:p>
    <w:p>
      <w:pPr>
        <w:pStyle w:val="BodyText"/>
      </w:pPr>
      <w:r>
        <w:t xml:space="preserve">Due process: fact-finding, employee response, documented decision, right of appeal.</w:t>
      </w:r>
    </w:p>
    <w:bookmarkEnd w:id="20"/>
    <w:bookmarkStart w:id="21" w:name="grievance-and-whistleblowing"/>
    <w:p>
      <w:pPr>
        <w:pStyle w:val="Heading2"/>
      </w:pPr>
      <w:r>
        <w:t xml:space="preserve">12. Grievance and Whistleblowing</w:t>
      </w:r>
    </w:p>
    <w:p>
      <w:pPr>
        <w:pStyle w:val="FirstParagraph"/>
      </w:pPr>
      <w:r>
        <w:t xml:space="preserve">Grievances can be raised without retaliation. Escalation: line manager, HR, Executive Management. Unresolved matters may be referred to lawful authorities.</w:t>
      </w:r>
    </w:p>
    <w:p>
      <w:pPr>
        <w:pStyle w:val="BodyText"/>
      </w:pPr>
      <w:r>
        <w:t xml:space="preserve">Timelines: acknowledgment within 24 hours; resolution target within 10 business days.</w:t>
      </w:r>
    </w:p>
    <w:p>
      <w:pPr>
        <w:pStyle w:val="BodyText"/>
      </w:pPr>
      <w:r>
        <w:t xml:space="preserve">Anonymous reporting channel maintained; all reports logged and tracked to closure.</w:t>
      </w:r>
    </w:p>
    <w:bookmarkEnd w:id="21"/>
    <w:bookmarkStart w:id="22" w:name="X7985dd93ee51efcd665ac50eb1cb7a0cb28be8d"/>
    <w:p>
      <w:pPr>
        <w:pStyle w:val="Heading2"/>
      </w:pPr>
      <w:r>
        <w:t xml:space="preserve">13. Freedom of Association and Collective Bargaining</w:t>
      </w:r>
    </w:p>
    <w:p>
      <w:pPr>
        <w:pStyle w:val="FirstParagraph"/>
      </w:pPr>
      <w:r>
        <w:t xml:space="preserve">Employees may join or form lawful associations/unions and bargain collectively in line with Nigerian law. No intimidation or discrimination for union activity.</w:t>
      </w:r>
    </w:p>
    <w:bookmarkEnd w:id="22"/>
    <w:bookmarkStart w:id="23" w:name="X4514e63a0215a755905fda70c4c63e47cb38580"/>
    <w:p>
      <w:pPr>
        <w:pStyle w:val="Heading2"/>
      </w:pPr>
      <w:r>
        <w:t xml:space="preserve">14. Prohibition of Child, Forced and Trafficked Labour</w:t>
      </w:r>
    </w:p>
    <w:p>
      <w:pPr>
        <w:pStyle w:val="FirstParagraph"/>
      </w:pPr>
      <w:r>
        <w:t xml:space="preserve">We prohibit child labour, forced labour, debt bondage and human trafficking. Site access requires valid identification and age verification.</w:t>
      </w:r>
    </w:p>
    <w:bookmarkEnd w:id="23"/>
    <w:bookmarkStart w:id="24" w:name="data-protection-and-confidentiality"/>
    <w:p>
      <w:pPr>
        <w:pStyle w:val="Heading2"/>
      </w:pPr>
      <w:r>
        <w:t xml:space="preserve">15. Data Protection and Confidentiality</w:t>
      </w:r>
    </w:p>
    <w:p>
      <w:pPr>
        <w:pStyle w:val="FirstParagraph"/>
      </w:pPr>
      <w:r>
        <w:t xml:space="preserve">Personal data processed under Nigeria Data Protection Act 2023. Access is role-based; sharing requires a lawful basis.</w:t>
      </w:r>
    </w:p>
    <w:p>
      <w:pPr>
        <w:pStyle w:val="BodyText"/>
      </w:pPr>
      <w:r>
        <w:t xml:space="preserve">Bonded and e-commerce operations must follow confidentiality and customer-data handling protocols.</w:t>
      </w:r>
    </w:p>
    <w:bookmarkEnd w:id="24"/>
    <w:bookmarkStart w:id="25" w:name="security-search-and-asset-protection"/>
    <w:p>
      <w:pPr>
        <w:pStyle w:val="Heading2"/>
      </w:pPr>
      <w:r>
        <w:t xml:space="preserve">16. Security, Search and Asset Protection</w:t>
      </w:r>
    </w:p>
    <w:p>
      <w:pPr>
        <w:pStyle w:val="FirstParagraph"/>
      </w:pPr>
      <w:r>
        <w:t xml:space="preserve">Access badges, visitor logs and escorts are mandatory. Reasonable searches conducted per policy and law. Tampering with cargo, inventory or seals is gross misconduct.</w:t>
      </w:r>
    </w:p>
    <w:p>
      <w:pPr>
        <w:pStyle w:val="BodyText"/>
      </w:pPr>
      <w:r>
        <w:t xml:space="preserve">Loss-prevention measures include CCTV, random audits and segregation of duties.</w:t>
      </w:r>
    </w:p>
    <w:bookmarkEnd w:id="25"/>
    <w:bookmarkStart w:id="26" w:name="Xc5047a19505f1bcc617120b18961b0007ced4ac"/>
    <w:p>
      <w:pPr>
        <w:pStyle w:val="Heading2"/>
      </w:pPr>
      <w:r>
        <w:t xml:space="preserve">17. Contractors and Supply-Chain Labour Standards</w:t>
      </w:r>
    </w:p>
    <w:p>
      <w:pPr>
        <w:pStyle w:val="FirstParagraph"/>
      </w:pPr>
      <w:r>
        <w:t xml:space="preserve">Contractors/labour providers must meet or exceed this policy. Contracts include clauses on wages, hours, HSE, anti-harassment and right-to-audit. Non-compliance may lead to suspension or termination.</w:t>
      </w:r>
    </w:p>
    <w:bookmarkEnd w:id="26"/>
    <w:bookmarkStart w:id="27" w:name="ethics-and-anti-corruption"/>
    <w:p>
      <w:pPr>
        <w:pStyle w:val="Heading2"/>
      </w:pPr>
      <w:r>
        <w:t xml:space="preserve">18. Ethics and Anti-Corruption</w:t>
      </w:r>
    </w:p>
    <w:p>
      <w:pPr>
        <w:pStyle w:val="FirstParagraph"/>
      </w:pPr>
      <w:r>
        <w:t xml:space="preserve">Bribery, facilitation payments and conflicts of interest are prohibited. Gifts/hospitality require pre-approval above set thresholds. Violations may be referred to authorities.</w:t>
      </w:r>
    </w:p>
    <w:bookmarkEnd w:id="27"/>
    <w:bookmarkStart w:id="28" w:name="communication-acknowledgment-and-records"/>
    <w:p>
      <w:pPr>
        <w:pStyle w:val="Heading2"/>
      </w:pPr>
      <w:r>
        <w:t xml:space="preserve">19. Communication, Acknowledgment and Records</w:t>
      </w:r>
    </w:p>
    <w:p>
      <w:pPr>
        <w:pStyle w:val="FirstParagraph"/>
      </w:pPr>
      <w:r>
        <w:t xml:space="preserve">Communicated during onboarding from June 2025; posted on noticeboards/intranet. Employees must sign acknowledgment. Training, incidents, grievances and disciplinary actions documented and retained per law.</w:t>
      </w:r>
    </w:p>
    <w:bookmarkEnd w:id="28"/>
    <w:bookmarkStart w:id="29" w:name="review-and-continuous-improvement"/>
    <w:p>
      <w:pPr>
        <w:pStyle w:val="Heading2"/>
      </w:pPr>
      <w:r>
        <w:t xml:space="preserve">20. Review and Continuous Improvement</w:t>
      </w:r>
    </w:p>
    <w:p>
      <w:pPr>
        <w:pStyle w:val="FirstParagraph"/>
      </w:pPr>
      <w:r>
        <w:t xml:space="preserve">Semi-annual audits each June and December starting 2025. Corrective actions tracked to closure. Material findings and KPI trends reported to the Board and made available to lenders upon request.</w:t>
      </w:r>
    </w:p>
    <w:bookmarkEnd w:id="29"/>
    <w:bookmarkStart w:id="30" w:name="sign-off"/>
    <w:p>
      <w:pPr>
        <w:pStyle w:val="Heading2"/>
      </w:pPr>
      <w:r>
        <w:t xml:space="preserve">Sign-Off</w:t>
      </w:r>
    </w:p>
    <w:p>
      <w:pPr>
        <w:pStyle w:val="FirstParagraph"/>
      </w:pPr>
      <w:r>
        <w:t xml:space="preserve">Approved by: Abieyuwa Agabu</w:t>
      </w:r>
      <w:r>
        <w:br/>
      </w:r>
      <w:r>
        <w:t xml:space="preserve">Title: Head of HR</w:t>
      </w:r>
      <w:r>
        <w:br/>
      </w:r>
      <w:r>
        <w:t xml:space="preserve">Date: August 25, 2025</w:t>
      </w:r>
    </w:p>
    <w:bookmarkEnd w:id="30"/>
    <w:bookmarkStart w:id="31" w:name="employee-acknowledgment"/>
    <w:p>
      <w:pPr>
        <w:pStyle w:val="Heading2"/>
      </w:pPr>
      <w:r>
        <w:t xml:space="preserve">Employee Acknowledgment</w:t>
      </w:r>
    </w:p>
    <w:p>
      <w:pPr>
        <w:pStyle w:val="FirstParagraph"/>
      </w:pPr>
      <w:r>
        <w:t xml:space="preserve">I acknowledge that I have received, read and understood the GK &amp; A Logistics Services Limited Human Resources Policy Manual and agree to abide by it.</w:t>
      </w:r>
    </w:p>
    <w:p>
      <w:pPr>
        <w:pStyle w:val="BodyText"/>
      </w:pPr>
      <w:r>
        <w:t xml:space="preserve">Name: _____________________</w:t>
      </w:r>
    </w:p>
    <w:p>
      <w:pPr>
        <w:pStyle w:val="BodyText"/>
      </w:pPr>
      <w:r>
        <w:t xml:space="preserve">Signature: ________________</w:t>
      </w:r>
    </w:p>
    <w:p>
      <w:pPr>
        <w:pStyle w:val="BodyText"/>
      </w:pPr>
      <w:r>
        <w:t xml:space="preserve">Date: _____________________</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2026-02-05T11:04:58Z</dcterms:created>
  <dcterms:modified xsi:type="dcterms:W3CDTF">2026-02-05T11:04:58Z</dcterms:modified>
</cp:coreProperties>
</file>

<file path=docProps/custom.xml><?xml version="1.0" encoding="utf-8"?>
<Properties xmlns="http://schemas.openxmlformats.org/officeDocument/2006/custom-properties" xmlns:vt="http://schemas.openxmlformats.org/officeDocument/2006/docPropsVTypes"/>
</file>