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98D05" w14:textId="37861C65" w:rsidR="00A94EC1" w:rsidRPr="00C403D7" w:rsidRDefault="00A94EC1" w:rsidP="00943F1D">
      <w:pPr>
        <w:jc w:val="both"/>
        <w:rPr>
          <w:rFonts w:cs="Poppins Light"/>
          <w:b/>
          <w:bCs/>
          <w:szCs w:val="21"/>
        </w:rPr>
      </w:pPr>
      <w:r w:rsidRPr="00C403D7">
        <w:rPr>
          <w:rFonts w:cs="Poppins Light"/>
          <w:b/>
          <w:bCs/>
          <w:szCs w:val="21"/>
        </w:rPr>
        <w:t xml:space="preserve">REPORT ON THE COMPREHENSIVE REVIEW AND STANDARDISATION OF UNION BANK PLC’S </w:t>
      </w:r>
      <w:r w:rsidR="00EB1900">
        <w:rPr>
          <w:rFonts w:cs="Poppins Light"/>
          <w:b/>
          <w:bCs/>
          <w:szCs w:val="21"/>
        </w:rPr>
        <w:t>LEGAL</w:t>
      </w:r>
      <w:r w:rsidRPr="00C403D7">
        <w:rPr>
          <w:rFonts w:cs="Poppins Light"/>
          <w:b/>
          <w:bCs/>
          <w:szCs w:val="21"/>
        </w:rPr>
        <w:t xml:space="preserve"> DOCUMENTATION</w:t>
      </w:r>
    </w:p>
    <w:p w14:paraId="0A5BFE13" w14:textId="77777777" w:rsidR="002F2B6D" w:rsidRPr="00C403D7" w:rsidRDefault="002F2B6D" w:rsidP="002F2B6D">
      <w:pPr>
        <w:pStyle w:val="ListParagraph"/>
        <w:jc w:val="both"/>
        <w:rPr>
          <w:rFonts w:cs="Poppins Light"/>
          <w:b/>
          <w:bCs/>
          <w:szCs w:val="21"/>
        </w:rPr>
      </w:pPr>
    </w:p>
    <w:p w14:paraId="7699E701" w14:textId="5B9BCE61" w:rsidR="00A94EC1" w:rsidRPr="00C403D7" w:rsidRDefault="00A94EC1" w:rsidP="002F2B6D">
      <w:pPr>
        <w:pStyle w:val="ListParagraph"/>
        <w:numPr>
          <w:ilvl w:val="0"/>
          <w:numId w:val="16"/>
        </w:numPr>
        <w:jc w:val="both"/>
        <w:rPr>
          <w:rFonts w:cs="Poppins Light"/>
          <w:b/>
          <w:bCs/>
          <w:szCs w:val="21"/>
        </w:rPr>
      </w:pPr>
      <w:r w:rsidRPr="00C403D7">
        <w:rPr>
          <w:rFonts w:cs="Poppins Light"/>
          <w:b/>
          <w:bCs/>
          <w:szCs w:val="21"/>
        </w:rPr>
        <w:t>EXECUTIVE SUMMARY</w:t>
      </w:r>
    </w:p>
    <w:p w14:paraId="4DA7DA44" w14:textId="3D013F62" w:rsidR="00587C17" w:rsidRPr="00C403D7" w:rsidRDefault="00A94EC1" w:rsidP="00943F1D">
      <w:pPr>
        <w:jc w:val="both"/>
        <w:rPr>
          <w:rFonts w:cs="Poppins Light"/>
          <w:szCs w:val="21"/>
        </w:rPr>
      </w:pPr>
      <w:r w:rsidRPr="00C403D7">
        <w:rPr>
          <w:rFonts w:cs="Poppins Light"/>
          <w:szCs w:val="21"/>
        </w:rPr>
        <w:t>Further to the</w:t>
      </w:r>
      <w:r w:rsidR="00EA3C2F" w:rsidRPr="00C403D7">
        <w:rPr>
          <w:rFonts w:cs="Poppins Light"/>
          <w:szCs w:val="21"/>
        </w:rPr>
        <w:t xml:space="preserve"> Letter of Engagement </w:t>
      </w:r>
      <w:r w:rsidR="00D61EB2" w:rsidRPr="00C403D7">
        <w:rPr>
          <w:rFonts w:cs="Poppins Light"/>
          <w:szCs w:val="21"/>
        </w:rPr>
        <w:t xml:space="preserve">dated 4th December 2025 </w:t>
      </w:r>
      <w:r w:rsidR="00EA3C2F" w:rsidRPr="00C403D7">
        <w:rPr>
          <w:rFonts w:cs="Poppins Light"/>
          <w:szCs w:val="21"/>
        </w:rPr>
        <w:t>issued by Union Bank of Nigeria</w:t>
      </w:r>
      <w:r w:rsidR="00943F1D" w:rsidRPr="00C403D7">
        <w:rPr>
          <w:rFonts w:cs="Poppins Light"/>
          <w:szCs w:val="21"/>
        </w:rPr>
        <w:t xml:space="preserve"> Plc</w:t>
      </w:r>
      <w:r w:rsidR="00D61EB2" w:rsidRPr="00C403D7">
        <w:rPr>
          <w:rFonts w:cs="Poppins Light"/>
          <w:szCs w:val="21"/>
        </w:rPr>
        <w:t xml:space="preserve"> (the </w:t>
      </w:r>
      <w:r w:rsidR="00D61EB2" w:rsidRPr="00C403D7">
        <w:rPr>
          <w:rFonts w:cs="Poppins Light"/>
          <w:b/>
          <w:bCs/>
          <w:szCs w:val="21"/>
        </w:rPr>
        <w:t>“Bank”</w:t>
      </w:r>
      <w:r w:rsidR="00376F15" w:rsidRPr="00C403D7">
        <w:rPr>
          <w:rFonts w:cs="Poppins Light"/>
          <w:szCs w:val="21"/>
        </w:rPr>
        <w:t xml:space="preserve"> or</w:t>
      </w:r>
      <w:r w:rsidR="00D61EB2" w:rsidRPr="00C403D7">
        <w:rPr>
          <w:rFonts w:cs="Poppins Light"/>
          <w:szCs w:val="21"/>
        </w:rPr>
        <w:t xml:space="preserve"> </w:t>
      </w:r>
      <w:r w:rsidR="00D61EB2" w:rsidRPr="00C403D7">
        <w:rPr>
          <w:rFonts w:cs="Poppins Light"/>
          <w:b/>
          <w:bCs/>
          <w:szCs w:val="21"/>
        </w:rPr>
        <w:t>“Union Bank”</w:t>
      </w:r>
      <w:r w:rsidR="00D61EB2" w:rsidRPr="00C403D7">
        <w:rPr>
          <w:rFonts w:cs="Poppins Light"/>
          <w:szCs w:val="21"/>
        </w:rPr>
        <w:t xml:space="preserve">) to Jackson, Etti &amp; Edu (our </w:t>
      </w:r>
      <w:r w:rsidR="00D61EB2" w:rsidRPr="00C403D7">
        <w:rPr>
          <w:rFonts w:cs="Poppins Light"/>
          <w:b/>
          <w:bCs/>
          <w:szCs w:val="21"/>
        </w:rPr>
        <w:t>“Firm”</w:t>
      </w:r>
      <w:r w:rsidR="00D61EB2" w:rsidRPr="00C403D7">
        <w:rPr>
          <w:rFonts w:cs="Poppins Light"/>
          <w:szCs w:val="21"/>
        </w:rPr>
        <w:t xml:space="preserve">), </w:t>
      </w:r>
      <w:r w:rsidR="00D11ADE">
        <w:rPr>
          <w:rFonts w:cs="Poppins Light"/>
          <w:szCs w:val="21"/>
        </w:rPr>
        <w:t xml:space="preserve">we </w:t>
      </w:r>
      <w:r w:rsidR="00D61EB2" w:rsidRPr="00C403D7">
        <w:rPr>
          <w:rFonts w:cs="Poppins Light"/>
          <w:szCs w:val="21"/>
        </w:rPr>
        <w:t xml:space="preserve">conducted a comprehensive review and </w:t>
      </w:r>
      <w:r w:rsidR="00726BD4" w:rsidRPr="00726BD4">
        <w:rPr>
          <w:rFonts w:cs="Poppins Light"/>
          <w:szCs w:val="21"/>
        </w:rPr>
        <w:t>standardisation of the Bank’s</w:t>
      </w:r>
      <w:r w:rsidR="00EB1900">
        <w:rPr>
          <w:rFonts w:cs="Poppins Light"/>
          <w:szCs w:val="21"/>
        </w:rPr>
        <w:t xml:space="preserve"> legal </w:t>
      </w:r>
      <w:r w:rsidR="00726BD4" w:rsidRPr="00726BD4">
        <w:rPr>
          <w:rFonts w:cs="Poppins Light"/>
          <w:szCs w:val="21"/>
        </w:rPr>
        <w:t>documentation suite</w:t>
      </w:r>
      <w:r w:rsidR="00726BD4">
        <w:rPr>
          <w:rFonts w:cs="Poppins Light"/>
          <w:szCs w:val="21"/>
        </w:rPr>
        <w:t xml:space="preserve">. </w:t>
      </w:r>
    </w:p>
    <w:p w14:paraId="227B0F56" w14:textId="516E2F72" w:rsidR="00A37269" w:rsidRPr="00A37269" w:rsidRDefault="0084746D" w:rsidP="00A37269">
      <w:pPr>
        <w:jc w:val="both"/>
        <w:rPr>
          <w:rFonts w:cs="Poppins Light"/>
          <w:szCs w:val="21"/>
        </w:rPr>
      </w:pPr>
      <w:r w:rsidRPr="0084746D">
        <w:rPr>
          <w:rFonts w:cs="Poppins Light"/>
          <w:szCs w:val="21"/>
        </w:rPr>
        <w:t>The objective of the engagement was to enhance enforceability, strengthen regulatory compliance, harmonise post-merger documentation structures, and align the Bank’s credit documentation with prevailing market standards and international best practices</w:t>
      </w:r>
      <w:r w:rsidR="007A5D8F">
        <w:rPr>
          <w:rFonts w:cs="Poppins Light"/>
          <w:szCs w:val="21"/>
        </w:rPr>
        <w:t xml:space="preserve">. </w:t>
      </w:r>
      <w:r w:rsidR="00E6576D" w:rsidRPr="00E6576D">
        <w:rPr>
          <w:rFonts w:cs="Poppins Light"/>
          <w:szCs w:val="21"/>
        </w:rPr>
        <w:t>In carrying out this mandate, we undertook a detailed review of the Bank’s facility templates, security documentation, guarantee instruments, and foreign exchange–related agreements. The documentation was benchmarked against</w:t>
      </w:r>
      <w:r w:rsidR="00A37269">
        <w:rPr>
          <w:rFonts w:cs="Poppins Light"/>
          <w:szCs w:val="21"/>
        </w:rPr>
        <w:t xml:space="preserve"> </w:t>
      </w:r>
      <w:r w:rsidR="00A37269" w:rsidRPr="00A37269">
        <w:rPr>
          <w:rFonts w:cs="Poppins Light"/>
          <w:szCs w:val="21"/>
        </w:rPr>
        <w:t xml:space="preserve"> </w:t>
      </w:r>
      <w:r w:rsidR="00A37269">
        <w:rPr>
          <w:rFonts w:cs="Poppins Light"/>
          <w:szCs w:val="21"/>
        </w:rPr>
        <w:t>a</w:t>
      </w:r>
      <w:r w:rsidR="00A37269" w:rsidRPr="00A37269">
        <w:rPr>
          <w:rFonts w:cs="Poppins Light"/>
          <w:szCs w:val="21"/>
        </w:rPr>
        <w:t>pplicable Central Bank of Nigeria (“CBN”) regulations and circulars</w:t>
      </w:r>
      <w:r w:rsidR="00A37269">
        <w:rPr>
          <w:rFonts w:cs="Poppins Light"/>
          <w:szCs w:val="21"/>
        </w:rPr>
        <w:t>, t</w:t>
      </w:r>
      <w:r w:rsidR="00A37269" w:rsidRPr="00A37269">
        <w:rPr>
          <w:rFonts w:cs="Poppins Light"/>
          <w:szCs w:val="21"/>
        </w:rPr>
        <w:t>he Loan Market Association (“LMA”) standard templates</w:t>
      </w:r>
      <w:r w:rsidR="00A37269">
        <w:rPr>
          <w:rFonts w:cs="Poppins Light"/>
          <w:szCs w:val="21"/>
        </w:rPr>
        <w:t>, r</w:t>
      </w:r>
      <w:r w:rsidR="00A37269" w:rsidRPr="00A37269">
        <w:rPr>
          <w:rFonts w:cs="Poppins Light"/>
          <w:szCs w:val="21"/>
        </w:rPr>
        <w:t>elevant judicial authorities on banker–customer relationships and enforceability of securities</w:t>
      </w:r>
      <w:r w:rsidR="00A37269">
        <w:rPr>
          <w:rFonts w:cs="Poppins Light"/>
          <w:szCs w:val="21"/>
        </w:rPr>
        <w:t>,</w:t>
      </w:r>
      <w:r w:rsidR="00A37269" w:rsidRPr="00A37269">
        <w:rPr>
          <w:rFonts w:cs="Poppins Light"/>
          <w:szCs w:val="21"/>
        </w:rPr>
        <w:t xml:space="preserve"> and Industry best practices within the Nigerian and international banking markets</w:t>
      </w:r>
    </w:p>
    <w:p w14:paraId="7553184C" w14:textId="77777777" w:rsidR="00DE74B9" w:rsidRPr="00DE74B9" w:rsidRDefault="00DE74B9" w:rsidP="00DE74B9">
      <w:pPr>
        <w:jc w:val="both"/>
        <w:rPr>
          <w:rFonts w:cs="Poppins Light"/>
          <w:szCs w:val="21"/>
        </w:rPr>
      </w:pPr>
      <w:r w:rsidRPr="00DE74B9">
        <w:rPr>
          <w:rFonts w:cs="Poppins Light"/>
          <w:szCs w:val="21"/>
        </w:rPr>
        <w:t>Onerous provisions were refined, ambiguities clarified, and drafting inconsistencies harmonised to ensure clearer risk allocation, improved operational usability, and stronger litigation resilience.</w:t>
      </w:r>
    </w:p>
    <w:p w14:paraId="0FD8099B" w14:textId="77777777" w:rsidR="00DE74B9" w:rsidRPr="00DE74B9" w:rsidRDefault="00DE74B9" w:rsidP="00DE74B9">
      <w:pPr>
        <w:jc w:val="both"/>
        <w:rPr>
          <w:rFonts w:cs="Poppins Light"/>
          <w:szCs w:val="21"/>
        </w:rPr>
      </w:pPr>
      <w:r w:rsidRPr="00DE74B9">
        <w:rPr>
          <w:rFonts w:cs="Poppins Light"/>
          <w:szCs w:val="21"/>
        </w:rPr>
        <w:t>Following completion of the review, we are satisfied that the revised documentation suite reflects:</w:t>
      </w:r>
    </w:p>
    <w:p w14:paraId="6DF54BA8" w14:textId="77777777" w:rsidR="00DE74B9" w:rsidRPr="00F30F0F" w:rsidRDefault="00DE74B9" w:rsidP="00C403D7">
      <w:pPr>
        <w:pStyle w:val="ListParagraph"/>
        <w:numPr>
          <w:ilvl w:val="0"/>
          <w:numId w:val="24"/>
        </w:numPr>
        <w:jc w:val="both"/>
        <w:rPr>
          <w:rFonts w:cs="Poppins Light"/>
          <w:szCs w:val="21"/>
        </w:rPr>
      </w:pPr>
      <w:r w:rsidRPr="00F30F0F">
        <w:rPr>
          <w:rFonts w:cs="Poppins Light"/>
          <w:szCs w:val="21"/>
        </w:rPr>
        <w:t>A unified and internally consistent structure;</w:t>
      </w:r>
    </w:p>
    <w:p w14:paraId="76646FC1" w14:textId="77777777" w:rsidR="00DE74B9" w:rsidRPr="00DE74B9" w:rsidRDefault="00DE74B9" w:rsidP="00DE74B9">
      <w:pPr>
        <w:numPr>
          <w:ilvl w:val="0"/>
          <w:numId w:val="24"/>
        </w:numPr>
        <w:jc w:val="both"/>
        <w:rPr>
          <w:rFonts w:cs="Poppins Light"/>
          <w:szCs w:val="21"/>
        </w:rPr>
      </w:pPr>
      <w:r w:rsidRPr="00DE74B9">
        <w:rPr>
          <w:rFonts w:cs="Poppins Light"/>
          <w:szCs w:val="21"/>
        </w:rPr>
        <w:t>Enhanced clarity of commercial and risk terms;</w:t>
      </w:r>
    </w:p>
    <w:p w14:paraId="0620258B" w14:textId="77777777" w:rsidR="00DE74B9" w:rsidRPr="00DE74B9" w:rsidRDefault="00DE74B9" w:rsidP="00DE74B9">
      <w:pPr>
        <w:numPr>
          <w:ilvl w:val="0"/>
          <w:numId w:val="24"/>
        </w:numPr>
        <w:jc w:val="both"/>
        <w:rPr>
          <w:rFonts w:cs="Poppins Light"/>
          <w:szCs w:val="21"/>
        </w:rPr>
      </w:pPr>
      <w:r w:rsidRPr="00DE74B9">
        <w:rPr>
          <w:rFonts w:cs="Poppins Light"/>
          <w:szCs w:val="21"/>
        </w:rPr>
        <w:t>Improved regulatory alignment; and</w:t>
      </w:r>
    </w:p>
    <w:p w14:paraId="1A4D04AA" w14:textId="77777777" w:rsidR="00DE74B9" w:rsidRPr="00DE74B9" w:rsidRDefault="00DE74B9" w:rsidP="00DE74B9">
      <w:pPr>
        <w:numPr>
          <w:ilvl w:val="0"/>
          <w:numId w:val="24"/>
        </w:numPr>
        <w:jc w:val="both"/>
        <w:rPr>
          <w:rFonts w:cs="Poppins Light"/>
          <w:szCs w:val="21"/>
        </w:rPr>
      </w:pPr>
      <w:r w:rsidRPr="00DE74B9">
        <w:rPr>
          <w:rFonts w:cs="Poppins Light"/>
          <w:szCs w:val="21"/>
        </w:rPr>
        <w:t>Greater robustness against current judicial, regulatory, and market realities.</w:t>
      </w:r>
    </w:p>
    <w:p w14:paraId="17B8A5F5" w14:textId="77777777" w:rsidR="00DE74B9" w:rsidRPr="00DE74B9" w:rsidRDefault="00DE74B9" w:rsidP="00DE74B9">
      <w:pPr>
        <w:jc w:val="both"/>
        <w:rPr>
          <w:rFonts w:cs="Poppins Light"/>
          <w:szCs w:val="21"/>
        </w:rPr>
      </w:pPr>
      <w:r w:rsidRPr="00DE74B9">
        <w:rPr>
          <w:rFonts w:cs="Poppins Light"/>
          <w:szCs w:val="21"/>
        </w:rPr>
        <w:t>We also recommend the institutionalisation of a structured governance framework to preserve the integrity of the revised suite, including periodic reviews, regulatory monitoring, and targeted staff training.</w:t>
      </w:r>
    </w:p>
    <w:p w14:paraId="7990B8BF" w14:textId="4156A5F1" w:rsidR="00A94EC1" w:rsidRPr="00C403D7" w:rsidRDefault="00A94EC1" w:rsidP="00943F1D">
      <w:pPr>
        <w:jc w:val="both"/>
        <w:rPr>
          <w:rFonts w:cs="Poppins Light"/>
          <w:szCs w:val="21"/>
        </w:rPr>
      </w:pPr>
    </w:p>
    <w:p w14:paraId="400C7484" w14:textId="4E0AB6D5" w:rsidR="00A94EC1" w:rsidRPr="005F4720" w:rsidRDefault="005F4720" w:rsidP="005F4720">
      <w:pPr>
        <w:jc w:val="both"/>
        <w:rPr>
          <w:rFonts w:cs="Poppins Light"/>
          <w:b/>
          <w:bCs/>
          <w:szCs w:val="21"/>
        </w:rPr>
      </w:pPr>
      <w:r>
        <w:rPr>
          <w:rFonts w:cs="Poppins Light"/>
          <w:b/>
          <w:bCs/>
          <w:szCs w:val="21"/>
        </w:rPr>
        <w:t>2.</w:t>
      </w:r>
      <w:r w:rsidR="00A10953">
        <w:rPr>
          <w:rFonts w:cs="Poppins Light"/>
          <w:b/>
          <w:bCs/>
          <w:szCs w:val="21"/>
        </w:rPr>
        <w:t xml:space="preserve">  </w:t>
      </w:r>
      <w:r w:rsidR="00A94EC1" w:rsidRPr="005F4720">
        <w:rPr>
          <w:rFonts w:cs="Poppins Light"/>
          <w:b/>
          <w:bCs/>
          <w:szCs w:val="21"/>
        </w:rPr>
        <w:t>SCOPE</w:t>
      </w:r>
      <w:r w:rsidR="007F339B" w:rsidRPr="005F4720">
        <w:rPr>
          <w:rFonts w:cs="Poppins Light"/>
          <w:b/>
          <w:bCs/>
          <w:szCs w:val="21"/>
        </w:rPr>
        <w:t xml:space="preserve"> OF WORK</w:t>
      </w:r>
    </w:p>
    <w:p w14:paraId="38DED2FB" w14:textId="6A1E7828" w:rsidR="00A94EC1" w:rsidRPr="00C403D7" w:rsidRDefault="002F2B6D" w:rsidP="00943F1D">
      <w:pPr>
        <w:jc w:val="both"/>
        <w:rPr>
          <w:rFonts w:cs="Poppins Light"/>
          <w:b/>
          <w:bCs/>
          <w:szCs w:val="21"/>
        </w:rPr>
      </w:pPr>
      <w:r w:rsidRPr="00C403D7">
        <w:rPr>
          <w:rFonts w:cs="Poppins Light"/>
          <w:b/>
          <w:bCs/>
          <w:szCs w:val="21"/>
        </w:rPr>
        <w:t>2.1</w:t>
      </w:r>
      <w:r w:rsidR="00A94EC1" w:rsidRPr="00C403D7">
        <w:rPr>
          <w:rFonts w:cs="Poppins Light"/>
          <w:b/>
          <w:bCs/>
          <w:szCs w:val="21"/>
        </w:rPr>
        <w:t xml:space="preserve">. Nature of the Review </w:t>
      </w:r>
    </w:p>
    <w:p w14:paraId="116E39CC" w14:textId="160078C1" w:rsidR="00D730F5" w:rsidRDefault="00A94EC1" w:rsidP="00943F1D">
      <w:pPr>
        <w:jc w:val="both"/>
        <w:rPr>
          <w:rFonts w:cs="Poppins Light"/>
          <w:szCs w:val="21"/>
        </w:rPr>
      </w:pPr>
      <w:r w:rsidRPr="00C403D7">
        <w:rPr>
          <w:rFonts w:cs="Poppins Light"/>
          <w:szCs w:val="21"/>
        </w:rPr>
        <w:lastRenderedPageBreak/>
        <w:t xml:space="preserve">The Firm </w:t>
      </w:r>
      <w:r w:rsidR="00F30F0F">
        <w:rPr>
          <w:rFonts w:cs="Poppins Light"/>
          <w:szCs w:val="21"/>
        </w:rPr>
        <w:t xml:space="preserve">conducted </w:t>
      </w:r>
      <w:r w:rsidRPr="00C403D7">
        <w:rPr>
          <w:rFonts w:cs="Poppins Light"/>
          <w:szCs w:val="21"/>
        </w:rPr>
        <w:t xml:space="preserve"> a full</w:t>
      </w:r>
      <w:r w:rsidRPr="00C403D7">
        <w:rPr>
          <w:rFonts w:cs="Poppins Light"/>
          <w:szCs w:val="21"/>
        </w:rPr>
        <w:noBreakHyphen/>
        <w:t>scale review</w:t>
      </w:r>
      <w:r w:rsidR="00786A56" w:rsidRPr="00C403D7">
        <w:rPr>
          <w:rFonts w:cs="Poppins Light"/>
          <w:szCs w:val="21"/>
        </w:rPr>
        <w:t xml:space="preserve"> and </w:t>
      </w:r>
      <w:r w:rsidRPr="00C403D7">
        <w:rPr>
          <w:rFonts w:cs="Poppins Light"/>
          <w:szCs w:val="21"/>
        </w:rPr>
        <w:t>standardisatio</w:t>
      </w:r>
      <w:r w:rsidR="00786A56" w:rsidRPr="00C403D7">
        <w:rPr>
          <w:rFonts w:cs="Poppins Light"/>
          <w:szCs w:val="21"/>
        </w:rPr>
        <w:t xml:space="preserve">n </w:t>
      </w:r>
      <w:r w:rsidRPr="00C403D7">
        <w:rPr>
          <w:rFonts w:cs="Poppins Light"/>
          <w:szCs w:val="21"/>
        </w:rPr>
        <w:t xml:space="preserve">of the Bank’s facility and ancillary documentation. The process included </w:t>
      </w:r>
      <w:r w:rsidR="00F30F0F">
        <w:rPr>
          <w:rFonts w:cs="Poppins Light"/>
          <w:szCs w:val="21"/>
        </w:rPr>
        <w:t xml:space="preserve">clause-by-clause legal </w:t>
      </w:r>
      <w:r w:rsidRPr="00C403D7">
        <w:rPr>
          <w:rFonts w:cs="Poppins Light"/>
          <w:szCs w:val="21"/>
        </w:rPr>
        <w:t xml:space="preserve"> analysis,</w:t>
      </w:r>
      <w:r w:rsidR="00F30F0F">
        <w:rPr>
          <w:rFonts w:cs="Poppins Light"/>
          <w:szCs w:val="21"/>
        </w:rPr>
        <w:t xml:space="preserve"> gap identification and risk mapping, </w:t>
      </w:r>
      <w:r w:rsidR="009F39DF">
        <w:rPr>
          <w:rFonts w:cs="Poppins Light"/>
          <w:szCs w:val="21"/>
        </w:rPr>
        <w:t>regulatory compliance assessment, judicial en</w:t>
      </w:r>
      <w:r w:rsidR="00D730F5">
        <w:rPr>
          <w:rFonts w:cs="Poppins Light"/>
          <w:szCs w:val="21"/>
        </w:rPr>
        <w:t>forceability review, benchmarking against LMA and industry standards, and harmonisation of definitions, representations, undertakings and enforcement provisions.</w:t>
      </w:r>
    </w:p>
    <w:p w14:paraId="4EA28504" w14:textId="00033840" w:rsidR="00A94EC1" w:rsidRPr="00C403D7" w:rsidRDefault="00D730F5" w:rsidP="00943F1D">
      <w:pPr>
        <w:jc w:val="both"/>
        <w:rPr>
          <w:rFonts w:cs="Poppins Light"/>
          <w:szCs w:val="21"/>
        </w:rPr>
      </w:pPr>
      <w:r>
        <w:rPr>
          <w:rFonts w:cs="Poppins Light"/>
          <w:szCs w:val="21"/>
        </w:rPr>
        <w:t xml:space="preserve">The review was undertaken in alignment </w:t>
      </w:r>
      <w:r w:rsidR="002D0EAC">
        <w:rPr>
          <w:rFonts w:cs="Poppins Light"/>
          <w:szCs w:val="21"/>
        </w:rPr>
        <w:t xml:space="preserve">with the Bank’s strategic </w:t>
      </w:r>
      <w:r w:rsidR="00004A08">
        <w:rPr>
          <w:rFonts w:cs="Poppins Light"/>
          <w:szCs w:val="21"/>
        </w:rPr>
        <w:t>priorities, including do</w:t>
      </w:r>
      <w:r w:rsidR="005954B0">
        <w:rPr>
          <w:rFonts w:cs="Poppins Light"/>
          <w:szCs w:val="21"/>
        </w:rPr>
        <w:t xml:space="preserve">cumentation  harmonisation and enhanced credit governance. </w:t>
      </w:r>
      <w:r w:rsidR="00A94EC1" w:rsidRPr="00C403D7">
        <w:rPr>
          <w:rFonts w:cs="Poppins Light"/>
          <w:szCs w:val="21"/>
        </w:rPr>
        <w:t xml:space="preserve"> </w:t>
      </w:r>
    </w:p>
    <w:p w14:paraId="62EF0687" w14:textId="3E4EDC82" w:rsidR="00E62273" w:rsidRPr="00C403D7" w:rsidRDefault="00E62273" w:rsidP="00943F1D">
      <w:pPr>
        <w:jc w:val="both"/>
        <w:rPr>
          <w:rFonts w:cs="Poppins Light"/>
          <w:b/>
          <w:bCs/>
          <w:szCs w:val="21"/>
        </w:rPr>
      </w:pPr>
      <w:r w:rsidRPr="00C403D7">
        <w:rPr>
          <w:rFonts w:cs="Poppins Light"/>
          <w:b/>
          <w:bCs/>
          <w:szCs w:val="21"/>
        </w:rPr>
        <w:t>2.2. Documents Reviewed</w:t>
      </w:r>
    </w:p>
    <w:p w14:paraId="4BD5D440" w14:textId="65962707" w:rsidR="00A94EC1" w:rsidRPr="00C403D7" w:rsidRDefault="006D2225" w:rsidP="00943F1D">
      <w:pPr>
        <w:jc w:val="both"/>
        <w:rPr>
          <w:rFonts w:cs="Poppins Light"/>
          <w:szCs w:val="21"/>
        </w:rPr>
      </w:pPr>
      <w:r w:rsidRPr="00C403D7">
        <w:rPr>
          <w:rFonts w:cs="Poppins Light"/>
          <w:szCs w:val="21"/>
        </w:rPr>
        <w:t>A total of twenty-six (26) documents were reviewed</w:t>
      </w:r>
      <w:r w:rsidR="00E42CD9">
        <w:rPr>
          <w:rFonts w:cs="Poppins Light"/>
          <w:szCs w:val="21"/>
        </w:rPr>
        <w:t xml:space="preserve">, including multiple variants. </w:t>
      </w:r>
      <w:r w:rsidR="005E2445">
        <w:rPr>
          <w:rFonts w:cs="Poppins Light"/>
          <w:szCs w:val="21"/>
        </w:rPr>
        <w:t>These comprised:</w:t>
      </w:r>
    </w:p>
    <w:p w14:paraId="5AB3C47F" w14:textId="77777777" w:rsidR="00E620CC" w:rsidRPr="00C403D7" w:rsidRDefault="00E620CC" w:rsidP="00E620CC">
      <w:pPr>
        <w:numPr>
          <w:ilvl w:val="0"/>
          <w:numId w:val="7"/>
        </w:numPr>
        <w:jc w:val="both"/>
        <w:rPr>
          <w:rFonts w:cs="Poppins Light"/>
          <w:szCs w:val="21"/>
        </w:rPr>
      </w:pPr>
      <w:r w:rsidRPr="00C403D7">
        <w:rPr>
          <w:rFonts w:cs="Poppins Light"/>
          <w:szCs w:val="21"/>
        </w:rPr>
        <w:t>All Asset Debenture</w:t>
      </w:r>
    </w:p>
    <w:p w14:paraId="22673136" w14:textId="466D645A" w:rsidR="00A52744" w:rsidRPr="00C403D7" w:rsidRDefault="00E620CC" w:rsidP="00A52744">
      <w:pPr>
        <w:numPr>
          <w:ilvl w:val="0"/>
          <w:numId w:val="7"/>
        </w:numPr>
        <w:jc w:val="both"/>
        <w:rPr>
          <w:rFonts w:cs="Poppins Light"/>
          <w:szCs w:val="21"/>
        </w:rPr>
      </w:pPr>
      <w:r w:rsidRPr="00C403D7">
        <w:rPr>
          <w:rFonts w:cs="Poppins Light"/>
          <w:szCs w:val="21"/>
        </w:rPr>
        <w:t>Bid Bond</w:t>
      </w:r>
    </w:p>
    <w:p w14:paraId="5E222578" w14:textId="64ECBBBE" w:rsidR="00A94EC1" w:rsidRPr="00C403D7" w:rsidRDefault="00A94EC1" w:rsidP="00E620CC">
      <w:pPr>
        <w:numPr>
          <w:ilvl w:val="0"/>
          <w:numId w:val="7"/>
        </w:numPr>
        <w:jc w:val="both"/>
        <w:rPr>
          <w:rFonts w:cs="Poppins Light"/>
          <w:szCs w:val="21"/>
        </w:rPr>
      </w:pPr>
      <w:r w:rsidRPr="00C403D7">
        <w:rPr>
          <w:rFonts w:cs="Poppins Light"/>
          <w:szCs w:val="21"/>
        </w:rPr>
        <w:t>BOI Facility Agreement</w:t>
      </w:r>
    </w:p>
    <w:p w14:paraId="3D21BC76" w14:textId="20EAFAF9" w:rsidR="00A52744" w:rsidRPr="00C403D7" w:rsidRDefault="00A52744" w:rsidP="00A52744">
      <w:pPr>
        <w:numPr>
          <w:ilvl w:val="0"/>
          <w:numId w:val="7"/>
        </w:numPr>
        <w:jc w:val="both"/>
        <w:rPr>
          <w:rFonts w:cs="Poppins Light"/>
          <w:szCs w:val="21"/>
        </w:rPr>
      </w:pPr>
      <w:r w:rsidRPr="00C403D7">
        <w:rPr>
          <w:rFonts w:cs="Poppins Light"/>
          <w:szCs w:val="21"/>
        </w:rPr>
        <w:t>Consolidated FX Trade Master Agreement (2 variants)</w:t>
      </w:r>
    </w:p>
    <w:p w14:paraId="774CC2A3" w14:textId="5189618C" w:rsidR="00307010" w:rsidRPr="00C403D7" w:rsidRDefault="00307010" w:rsidP="00943F1D">
      <w:pPr>
        <w:numPr>
          <w:ilvl w:val="0"/>
          <w:numId w:val="7"/>
        </w:numPr>
        <w:jc w:val="both"/>
        <w:rPr>
          <w:rFonts w:cs="Poppins Light"/>
          <w:szCs w:val="21"/>
        </w:rPr>
      </w:pPr>
      <w:r w:rsidRPr="00C403D7">
        <w:rPr>
          <w:rFonts w:cs="Poppins Light"/>
          <w:szCs w:val="21"/>
        </w:rPr>
        <w:t>General Indemnity (3 variants)</w:t>
      </w:r>
    </w:p>
    <w:p w14:paraId="0B8F8BAA" w14:textId="7B73DDB9" w:rsidR="00307010" w:rsidRPr="00C403D7" w:rsidRDefault="00307010" w:rsidP="00307010">
      <w:pPr>
        <w:numPr>
          <w:ilvl w:val="0"/>
          <w:numId w:val="7"/>
        </w:numPr>
        <w:jc w:val="both"/>
        <w:rPr>
          <w:rFonts w:cs="Poppins Light"/>
          <w:szCs w:val="21"/>
        </w:rPr>
      </w:pPr>
      <w:r w:rsidRPr="00C403D7">
        <w:rPr>
          <w:rFonts w:cs="Poppins Light"/>
          <w:szCs w:val="21"/>
        </w:rPr>
        <w:t>Irrevocable Undertaking for Domiciliation of Sales Proceeds</w:t>
      </w:r>
    </w:p>
    <w:p w14:paraId="39822AAD" w14:textId="77777777" w:rsidR="00307010" w:rsidRPr="00C403D7" w:rsidRDefault="00307010" w:rsidP="00307010">
      <w:pPr>
        <w:numPr>
          <w:ilvl w:val="0"/>
          <w:numId w:val="7"/>
        </w:numPr>
        <w:jc w:val="both"/>
        <w:rPr>
          <w:rFonts w:cs="Poppins Light"/>
          <w:szCs w:val="21"/>
        </w:rPr>
      </w:pPr>
      <w:r w:rsidRPr="00C403D7">
        <w:rPr>
          <w:rFonts w:cs="Poppins Light"/>
          <w:szCs w:val="21"/>
        </w:rPr>
        <w:t>Letter of Consent to Register Tripartite Legal Mortgage</w:t>
      </w:r>
    </w:p>
    <w:p w14:paraId="5D3D81F6" w14:textId="38353B44" w:rsidR="00307010" w:rsidRPr="00C403D7" w:rsidRDefault="00307010" w:rsidP="00307010">
      <w:pPr>
        <w:numPr>
          <w:ilvl w:val="0"/>
          <w:numId w:val="7"/>
        </w:numPr>
        <w:jc w:val="both"/>
        <w:rPr>
          <w:rFonts w:cs="Poppins Light"/>
          <w:szCs w:val="21"/>
        </w:rPr>
      </w:pPr>
      <w:r w:rsidRPr="00C403D7">
        <w:rPr>
          <w:rFonts w:cs="Poppins Light"/>
          <w:szCs w:val="21"/>
        </w:rPr>
        <w:t>Letter of Domiciliation of Contract Proceeds to Offtakers</w:t>
      </w:r>
    </w:p>
    <w:p w14:paraId="5292CCF1" w14:textId="4FF5BD51" w:rsidR="00307010" w:rsidRPr="00C403D7" w:rsidRDefault="00307010" w:rsidP="00307010">
      <w:pPr>
        <w:numPr>
          <w:ilvl w:val="0"/>
          <w:numId w:val="7"/>
        </w:numPr>
        <w:jc w:val="both"/>
        <w:rPr>
          <w:rFonts w:cs="Poppins Light"/>
          <w:szCs w:val="21"/>
        </w:rPr>
      </w:pPr>
      <w:r w:rsidRPr="00C403D7">
        <w:rPr>
          <w:rFonts w:cs="Poppins Light"/>
          <w:szCs w:val="21"/>
        </w:rPr>
        <w:t>Letter of Hypothecation (3 variants)</w:t>
      </w:r>
    </w:p>
    <w:p w14:paraId="4686EE86" w14:textId="52CC00EF" w:rsidR="00A94EC1" w:rsidRPr="00C403D7" w:rsidRDefault="00A94EC1" w:rsidP="00943F1D">
      <w:pPr>
        <w:numPr>
          <w:ilvl w:val="0"/>
          <w:numId w:val="7"/>
        </w:numPr>
        <w:jc w:val="both"/>
        <w:rPr>
          <w:rFonts w:cs="Poppins Light"/>
          <w:szCs w:val="21"/>
        </w:rPr>
      </w:pPr>
      <w:r w:rsidRPr="00C403D7">
        <w:rPr>
          <w:rFonts w:cs="Poppins Light"/>
          <w:szCs w:val="21"/>
        </w:rPr>
        <w:t>Offer Letters (6 variants)</w:t>
      </w:r>
    </w:p>
    <w:p w14:paraId="41796D83" w14:textId="2423D96E" w:rsidR="00A94EC1" w:rsidRPr="00C403D7" w:rsidRDefault="00A94EC1" w:rsidP="00943F1D">
      <w:pPr>
        <w:numPr>
          <w:ilvl w:val="0"/>
          <w:numId w:val="7"/>
        </w:numPr>
        <w:jc w:val="both"/>
        <w:rPr>
          <w:rFonts w:cs="Poppins Light"/>
          <w:szCs w:val="21"/>
        </w:rPr>
      </w:pPr>
      <w:r w:rsidRPr="00C403D7">
        <w:rPr>
          <w:rFonts w:cs="Poppins Light"/>
          <w:szCs w:val="21"/>
        </w:rPr>
        <w:t>Overdraft Agreement</w:t>
      </w:r>
      <w:r w:rsidR="006D2225" w:rsidRPr="00C403D7">
        <w:rPr>
          <w:rFonts w:cs="Poppins Light"/>
          <w:szCs w:val="21"/>
        </w:rPr>
        <w:t xml:space="preserve"> (3 variants)</w:t>
      </w:r>
    </w:p>
    <w:p w14:paraId="26974D2E" w14:textId="3726D243" w:rsidR="00A94EC1" w:rsidRPr="00C403D7" w:rsidRDefault="00A94EC1" w:rsidP="006D2225">
      <w:pPr>
        <w:numPr>
          <w:ilvl w:val="0"/>
          <w:numId w:val="7"/>
        </w:numPr>
        <w:jc w:val="both"/>
        <w:rPr>
          <w:rFonts w:cs="Poppins Light"/>
          <w:szCs w:val="21"/>
        </w:rPr>
      </w:pPr>
      <w:r w:rsidRPr="00C403D7">
        <w:rPr>
          <w:rFonts w:cs="Poppins Light"/>
          <w:szCs w:val="21"/>
        </w:rPr>
        <w:t>Personal Guarantee</w:t>
      </w:r>
    </w:p>
    <w:p w14:paraId="516CFEA1" w14:textId="1950EC98" w:rsidR="00E62273" w:rsidRPr="00C403D7" w:rsidRDefault="000E06AF" w:rsidP="00E62273">
      <w:pPr>
        <w:numPr>
          <w:ilvl w:val="0"/>
          <w:numId w:val="7"/>
        </w:numPr>
        <w:jc w:val="both"/>
        <w:rPr>
          <w:rFonts w:cs="Poppins Light"/>
          <w:szCs w:val="21"/>
        </w:rPr>
      </w:pPr>
      <w:r w:rsidRPr="00C403D7">
        <w:rPr>
          <w:rFonts w:cs="Poppins Light"/>
          <w:szCs w:val="21"/>
        </w:rPr>
        <w:t>Undertaking to Domicile Sales Proceeds (2 variants)</w:t>
      </w:r>
    </w:p>
    <w:p w14:paraId="5B02FC1A" w14:textId="77777777" w:rsidR="00E62273" w:rsidRPr="00C403D7" w:rsidRDefault="00E62273" w:rsidP="00E62273">
      <w:pPr>
        <w:ind w:left="720"/>
        <w:jc w:val="both"/>
        <w:rPr>
          <w:rFonts w:cs="Poppins Light"/>
          <w:szCs w:val="21"/>
        </w:rPr>
      </w:pPr>
    </w:p>
    <w:p w14:paraId="65DE318E" w14:textId="21DCDC64" w:rsidR="00E62273" w:rsidRPr="00C403D7" w:rsidRDefault="00E62273" w:rsidP="00E62273">
      <w:pPr>
        <w:jc w:val="both"/>
        <w:rPr>
          <w:rFonts w:cs="Poppins Light"/>
          <w:b/>
          <w:bCs/>
          <w:szCs w:val="21"/>
        </w:rPr>
      </w:pPr>
      <w:r w:rsidRPr="00C403D7">
        <w:rPr>
          <w:rFonts w:cs="Poppins Light"/>
          <w:b/>
          <w:bCs/>
          <w:szCs w:val="21"/>
        </w:rPr>
        <w:t xml:space="preserve">2.3. </w:t>
      </w:r>
      <w:r w:rsidR="00A94EC1" w:rsidRPr="00C403D7">
        <w:rPr>
          <w:rFonts w:cs="Poppins Light"/>
          <w:b/>
          <w:bCs/>
          <w:szCs w:val="21"/>
        </w:rPr>
        <w:t>Assumptions &amp; Limitations</w:t>
      </w:r>
    </w:p>
    <w:p w14:paraId="3D7B8AD8" w14:textId="77777777" w:rsidR="000526D6" w:rsidRPr="000526D6" w:rsidRDefault="000526D6" w:rsidP="000526D6">
      <w:pPr>
        <w:jc w:val="both"/>
        <w:rPr>
          <w:rFonts w:cs="Poppins Light"/>
          <w:szCs w:val="21"/>
        </w:rPr>
      </w:pPr>
      <w:r w:rsidRPr="000526D6">
        <w:rPr>
          <w:rFonts w:cs="Poppins Light"/>
          <w:szCs w:val="21"/>
        </w:rPr>
        <w:t>Our review was based solely on the documentation provided by the Bank, and we assumed such documentation to be authentic and complete.</w:t>
      </w:r>
    </w:p>
    <w:p w14:paraId="478A6459" w14:textId="77777777" w:rsidR="000526D6" w:rsidRPr="000526D6" w:rsidRDefault="000526D6" w:rsidP="000526D6">
      <w:pPr>
        <w:jc w:val="both"/>
        <w:rPr>
          <w:rFonts w:cs="Poppins Light"/>
          <w:szCs w:val="21"/>
        </w:rPr>
      </w:pPr>
      <w:r w:rsidRPr="000526D6">
        <w:rPr>
          <w:rFonts w:cs="Poppins Light"/>
          <w:szCs w:val="21"/>
        </w:rPr>
        <w:t>We further assumed that operational references within the templates accurately reflect current internal processes unless otherwise indicated.</w:t>
      </w:r>
    </w:p>
    <w:p w14:paraId="02DC7A96" w14:textId="6072AC42" w:rsidR="000526D6" w:rsidRPr="000526D6" w:rsidRDefault="000526D6" w:rsidP="00C403D7">
      <w:pPr>
        <w:jc w:val="both"/>
        <w:rPr>
          <w:rFonts w:cs="Poppins Light"/>
          <w:szCs w:val="21"/>
        </w:rPr>
      </w:pPr>
      <w:r w:rsidRPr="000526D6">
        <w:rPr>
          <w:rFonts w:cs="Poppins Light"/>
          <w:szCs w:val="21"/>
        </w:rPr>
        <w:lastRenderedPageBreak/>
        <w:t>The scope of this engagement did not extend to</w:t>
      </w:r>
      <w:r w:rsidR="000D37AF">
        <w:rPr>
          <w:rFonts w:cs="Poppins Light"/>
          <w:szCs w:val="21"/>
        </w:rPr>
        <w:t xml:space="preserve"> </w:t>
      </w:r>
      <w:r w:rsidR="00084317">
        <w:rPr>
          <w:rFonts w:cs="Poppins Light"/>
          <w:szCs w:val="21"/>
        </w:rPr>
        <w:t>(</w:t>
      </w:r>
      <w:proofErr w:type="spellStart"/>
      <w:r w:rsidR="00084317">
        <w:rPr>
          <w:rFonts w:cs="Poppins Light"/>
          <w:szCs w:val="21"/>
        </w:rPr>
        <w:t>i</w:t>
      </w:r>
      <w:proofErr w:type="spellEnd"/>
      <w:r w:rsidR="00084317">
        <w:rPr>
          <w:rFonts w:cs="Poppins Light"/>
          <w:szCs w:val="21"/>
        </w:rPr>
        <w:t>)</w:t>
      </w:r>
      <w:r w:rsidR="00594BB0">
        <w:rPr>
          <w:rFonts w:cs="Poppins Light"/>
          <w:szCs w:val="21"/>
        </w:rPr>
        <w:t xml:space="preserve"> T</w:t>
      </w:r>
      <w:r w:rsidRPr="000526D6">
        <w:rPr>
          <w:rFonts w:cs="Poppins Light"/>
          <w:szCs w:val="21"/>
        </w:rPr>
        <w:t>ax structuring advisory</w:t>
      </w:r>
      <w:r w:rsidR="00084317">
        <w:rPr>
          <w:rFonts w:cs="Poppins Light"/>
          <w:szCs w:val="21"/>
        </w:rPr>
        <w:t xml:space="preserve">; (ii) </w:t>
      </w:r>
      <w:r w:rsidR="00594BB0">
        <w:rPr>
          <w:rFonts w:cs="Poppins Light"/>
          <w:szCs w:val="21"/>
        </w:rPr>
        <w:t>O</w:t>
      </w:r>
      <w:r w:rsidRPr="000526D6">
        <w:rPr>
          <w:rFonts w:cs="Poppins Light"/>
          <w:szCs w:val="21"/>
        </w:rPr>
        <w:t>ff-balance sheet accounting assessments</w:t>
      </w:r>
      <w:r w:rsidR="009D53C6">
        <w:rPr>
          <w:rFonts w:cs="Poppins Light"/>
          <w:szCs w:val="21"/>
        </w:rPr>
        <w:t>; (</w:t>
      </w:r>
      <w:r w:rsidR="00594BB0">
        <w:rPr>
          <w:rFonts w:cs="Poppins Light"/>
          <w:szCs w:val="21"/>
        </w:rPr>
        <w:t>ii)</w:t>
      </w:r>
      <w:r w:rsidR="0016581D">
        <w:rPr>
          <w:rFonts w:cs="Poppins Light"/>
          <w:szCs w:val="21"/>
        </w:rPr>
        <w:t xml:space="preserve"> </w:t>
      </w:r>
      <w:r w:rsidR="00594BB0">
        <w:rPr>
          <w:rFonts w:cs="Poppins Light"/>
          <w:szCs w:val="21"/>
        </w:rPr>
        <w:t>T</w:t>
      </w:r>
      <w:r w:rsidRPr="000526D6">
        <w:rPr>
          <w:rFonts w:cs="Poppins Light"/>
          <w:szCs w:val="21"/>
        </w:rPr>
        <w:t>ransaction-specific due diligence;</w:t>
      </w:r>
      <w:r w:rsidR="003E49B7">
        <w:rPr>
          <w:rFonts w:cs="Poppins Light"/>
          <w:szCs w:val="21"/>
        </w:rPr>
        <w:t xml:space="preserve"> </w:t>
      </w:r>
      <w:r w:rsidR="00594BB0">
        <w:rPr>
          <w:rFonts w:cs="Poppins Light"/>
          <w:szCs w:val="21"/>
        </w:rPr>
        <w:t>(iii) I</w:t>
      </w:r>
      <w:r w:rsidRPr="000526D6">
        <w:rPr>
          <w:rFonts w:cs="Poppins Light"/>
          <w:szCs w:val="21"/>
        </w:rPr>
        <w:t>ndependent verification of collateral assets;</w:t>
      </w:r>
      <w:r w:rsidR="003E49B7">
        <w:rPr>
          <w:rFonts w:cs="Poppins Light"/>
          <w:szCs w:val="21"/>
        </w:rPr>
        <w:t xml:space="preserve"> </w:t>
      </w:r>
      <w:r w:rsidR="00594BB0">
        <w:rPr>
          <w:rFonts w:cs="Poppins Light"/>
          <w:szCs w:val="21"/>
        </w:rPr>
        <w:t>(iv) L</w:t>
      </w:r>
      <w:r w:rsidRPr="000526D6">
        <w:rPr>
          <w:rFonts w:cs="Poppins Light"/>
          <w:szCs w:val="21"/>
        </w:rPr>
        <w:t xml:space="preserve">itigation risk analysis unrelated to documentation enforceability; </w:t>
      </w:r>
      <w:r w:rsidR="00594BB0">
        <w:rPr>
          <w:rFonts w:cs="Poppins Light"/>
          <w:szCs w:val="21"/>
        </w:rPr>
        <w:t>and (v)</w:t>
      </w:r>
      <w:r w:rsidR="003E49B7">
        <w:rPr>
          <w:rFonts w:cs="Poppins Light"/>
          <w:szCs w:val="21"/>
        </w:rPr>
        <w:t xml:space="preserve"> </w:t>
      </w:r>
      <w:r w:rsidRPr="000526D6">
        <w:rPr>
          <w:rFonts w:cs="Poppins Light"/>
          <w:szCs w:val="21"/>
        </w:rPr>
        <w:t>ESG advisory beyond clause-level alignment where relevant</w:t>
      </w:r>
      <w:r w:rsidR="00594BB0">
        <w:rPr>
          <w:rFonts w:cs="Poppins Light"/>
          <w:szCs w:val="21"/>
        </w:rPr>
        <w:t>.</w:t>
      </w:r>
    </w:p>
    <w:p w14:paraId="2048F449" w14:textId="77777777" w:rsidR="00E62273" w:rsidRPr="00C403D7" w:rsidRDefault="00E62273" w:rsidP="00E62273">
      <w:pPr>
        <w:jc w:val="both"/>
        <w:rPr>
          <w:rFonts w:cs="Poppins Light"/>
          <w:b/>
          <w:bCs/>
          <w:szCs w:val="21"/>
        </w:rPr>
      </w:pPr>
    </w:p>
    <w:p w14:paraId="27980854" w14:textId="77777777" w:rsidR="00594BB0" w:rsidRDefault="00E62273" w:rsidP="00943F1D">
      <w:pPr>
        <w:jc w:val="both"/>
        <w:rPr>
          <w:rFonts w:cs="Poppins Light"/>
          <w:b/>
          <w:bCs/>
          <w:szCs w:val="21"/>
        </w:rPr>
      </w:pPr>
      <w:r w:rsidRPr="00C403D7">
        <w:rPr>
          <w:rFonts w:cs="Poppins Light"/>
          <w:b/>
          <w:bCs/>
          <w:szCs w:val="21"/>
        </w:rPr>
        <w:t xml:space="preserve">2.4. </w:t>
      </w:r>
      <w:r w:rsidR="00A94EC1" w:rsidRPr="00C403D7">
        <w:rPr>
          <w:rFonts w:cs="Poppins Light"/>
          <w:b/>
          <w:bCs/>
          <w:szCs w:val="21"/>
        </w:rPr>
        <w:t xml:space="preserve">Legal </w:t>
      </w:r>
      <w:r w:rsidR="00594BB0">
        <w:rPr>
          <w:rFonts w:cs="Poppins Light"/>
          <w:b/>
          <w:bCs/>
          <w:szCs w:val="21"/>
        </w:rPr>
        <w:t xml:space="preserve">and Regulatory Framework Considered </w:t>
      </w:r>
    </w:p>
    <w:p w14:paraId="345F3FE6" w14:textId="4402997A" w:rsidR="00A94EC1" w:rsidRPr="00C403D7" w:rsidRDefault="00545BF3" w:rsidP="00943F1D">
      <w:pPr>
        <w:jc w:val="both"/>
        <w:rPr>
          <w:rFonts w:cs="Poppins Light"/>
          <w:bCs/>
          <w:szCs w:val="21"/>
        </w:rPr>
      </w:pPr>
      <w:r w:rsidRPr="00C403D7">
        <w:rPr>
          <w:rFonts w:cs="Poppins Light"/>
          <w:bCs/>
          <w:szCs w:val="21"/>
        </w:rPr>
        <w:t xml:space="preserve">The review was conducted with reference </w:t>
      </w:r>
      <w:r w:rsidR="00DA6512" w:rsidRPr="00C403D7">
        <w:rPr>
          <w:rFonts w:cs="Poppins Light"/>
          <w:bCs/>
          <w:szCs w:val="21"/>
        </w:rPr>
        <w:t>to applicable statutory, regulatory, and jud</w:t>
      </w:r>
      <w:r w:rsidR="00D01C99" w:rsidRPr="00C403D7">
        <w:rPr>
          <w:rFonts w:cs="Poppins Light"/>
          <w:bCs/>
          <w:szCs w:val="21"/>
        </w:rPr>
        <w:t xml:space="preserve">icial authorities, including: </w:t>
      </w:r>
    </w:p>
    <w:p w14:paraId="4012065B" w14:textId="5C225A52" w:rsidR="00240726" w:rsidRPr="00C403D7" w:rsidRDefault="00DE38DE" w:rsidP="00943F1D">
      <w:pPr>
        <w:jc w:val="both"/>
        <w:rPr>
          <w:rFonts w:cs="Poppins Light"/>
          <w:b/>
          <w:szCs w:val="21"/>
        </w:rPr>
      </w:pPr>
      <w:r>
        <w:rPr>
          <w:rFonts w:cs="Poppins Light"/>
          <w:b/>
          <w:szCs w:val="21"/>
        </w:rPr>
        <w:t xml:space="preserve">(A) </w:t>
      </w:r>
      <w:r w:rsidR="00240726">
        <w:rPr>
          <w:rFonts w:cs="Poppins Light"/>
          <w:b/>
          <w:szCs w:val="21"/>
        </w:rPr>
        <w:t xml:space="preserve"> Statutory </w:t>
      </w:r>
      <w:r w:rsidR="00D01C99">
        <w:rPr>
          <w:rFonts w:cs="Poppins Light"/>
          <w:b/>
          <w:szCs w:val="21"/>
        </w:rPr>
        <w:t xml:space="preserve">and Regulatory </w:t>
      </w:r>
      <w:r w:rsidR="00240726">
        <w:rPr>
          <w:rFonts w:cs="Poppins Light"/>
          <w:b/>
          <w:szCs w:val="21"/>
        </w:rPr>
        <w:t>Authorities</w:t>
      </w:r>
    </w:p>
    <w:p w14:paraId="061E25F8" w14:textId="77777777" w:rsidR="001826DA" w:rsidRPr="00DC5E5A" w:rsidRDefault="001826DA" w:rsidP="00943F1D">
      <w:pPr>
        <w:numPr>
          <w:ilvl w:val="0"/>
          <w:numId w:val="9"/>
        </w:numPr>
        <w:jc w:val="both"/>
        <w:rPr>
          <w:rFonts w:cs="Poppins Light"/>
          <w:szCs w:val="21"/>
        </w:rPr>
      </w:pPr>
      <w:r>
        <w:rPr>
          <w:rFonts w:cs="Poppins Light"/>
          <w:szCs w:val="21"/>
        </w:rPr>
        <w:t>Nigeria Tax Act, 2025;</w:t>
      </w:r>
    </w:p>
    <w:p w14:paraId="05E4C9F5" w14:textId="25A990D1" w:rsidR="00DC5E5A" w:rsidRPr="00DC5E5A" w:rsidRDefault="00DC5E5A" w:rsidP="00DC5E5A">
      <w:pPr>
        <w:numPr>
          <w:ilvl w:val="0"/>
          <w:numId w:val="9"/>
        </w:numPr>
        <w:jc w:val="both"/>
        <w:rPr>
          <w:rFonts w:cs="Poppins Light"/>
          <w:szCs w:val="21"/>
        </w:rPr>
      </w:pPr>
      <w:r w:rsidRPr="00145664">
        <w:rPr>
          <w:rFonts w:cs="Poppins Light"/>
          <w:szCs w:val="21"/>
        </w:rPr>
        <w:t>Companies and Allied Matters Act (CAMA), 2020</w:t>
      </w:r>
    </w:p>
    <w:p w14:paraId="45232B67" w14:textId="2729B554" w:rsidR="00A94EC1" w:rsidRPr="00C403D7" w:rsidRDefault="00A94EC1" w:rsidP="00943F1D">
      <w:pPr>
        <w:numPr>
          <w:ilvl w:val="0"/>
          <w:numId w:val="9"/>
        </w:numPr>
        <w:jc w:val="both"/>
        <w:rPr>
          <w:rFonts w:cs="Poppins Light"/>
          <w:szCs w:val="21"/>
        </w:rPr>
      </w:pPr>
      <w:r w:rsidRPr="00C403D7">
        <w:rPr>
          <w:rFonts w:cs="Poppins Light"/>
          <w:szCs w:val="21"/>
        </w:rPr>
        <w:t>Banks and Other Financial Institutions Act (BOFIA)</w:t>
      </w:r>
      <w:r w:rsidR="00153D9A">
        <w:rPr>
          <w:rFonts w:cs="Poppins Light"/>
          <w:szCs w:val="21"/>
        </w:rPr>
        <w:t>, 2020</w:t>
      </w:r>
    </w:p>
    <w:p w14:paraId="7144E7E1" w14:textId="6E5B57D8" w:rsidR="00A94EC1" w:rsidRPr="00C403D7" w:rsidRDefault="00A94EC1" w:rsidP="00943F1D">
      <w:pPr>
        <w:numPr>
          <w:ilvl w:val="0"/>
          <w:numId w:val="9"/>
        </w:numPr>
        <w:jc w:val="both"/>
        <w:rPr>
          <w:rFonts w:cs="Poppins Light"/>
          <w:szCs w:val="21"/>
        </w:rPr>
      </w:pPr>
      <w:r w:rsidRPr="00C403D7">
        <w:rPr>
          <w:rFonts w:cs="Poppins Light"/>
          <w:szCs w:val="21"/>
        </w:rPr>
        <w:t>CBN Prudential Guidelines</w:t>
      </w:r>
      <w:r w:rsidR="008176FD">
        <w:rPr>
          <w:rFonts w:cs="Poppins Light"/>
          <w:szCs w:val="21"/>
        </w:rPr>
        <w:t xml:space="preserve"> for Deposit Money Banks in Nigeria, 2019</w:t>
      </w:r>
    </w:p>
    <w:p w14:paraId="392868F4" w14:textId="7FB79D0F" w:rsidR="0011710D" w:rsidRPr="00C403D7" w:rsidRDefault="0011710D" w:rsidP="00943F1D">
      <w:pPr>
        <w:numPr>
          <w:ilvl w:val="0"/>
          <w:numId w:val="9"/>
        </w:numPr>
        <w:jc w:val="both"/>
        <w:rPr>
          <w:rFonts w:cs="Poppins Light"/>
          <w:szCs w:val="21"/>
        </w:rPr>
      </w:pPr>
      <w:r w:rsidRPr="00C403D7">
        <w:rPr>
          <w:rFonts w:cs="Poppins Light"/>
          <w:szCs w:val="21"/>
        </w:rPr>
        <w:t xml:space="preserve">CBN Customer </w:t>
      </w:r>
      <w:r w:rsidR="008651A6">
        <w:rPr>
          <w:rFonts w:cs="Poppins Light"/>
          <w:szCs w:val="21"/>
        </w:rPr>
        <w:t xml:space="preserve">Protection </w:t>
      </w:r>
      <w:r w:rsidRPr="00C403D7">
        <w:rPr>
          <w:rFonts w:cs="Poppins Light"/>
          <w:szCs w:val="21"/>
        </w:rPr>
        <w:t>Regulations</w:t>
      </w:r>
      <w:r w:rsidR="008651A6">
        <w:rPr>
          <w:rFonts w:cs="Poppins Light"/>
          <w:szCs w:val="21"/>
        </w:rPr>
        <w:t>, 20</w:t>
      </w:r>
      <w:r w:rsidR="006708FD">
        <w:rPr>
          <w:rFonts w:cs="Poppins Light"/>
          <w:szCs w:val="21"/>
        </w:rPr>
        <w:t>19</w:t>
      </w:r>
    </w:p>
    <w:p w14:paraId="7B809E4B" w14:textId="3DF4AB45" w:rsidR="00A94EC1" w:rsidRPr="00C403D7" w:rsidRDefault="00A94EC1" w:rsidP="00943F1D">
      <w:pPr>
        <w:numPr>
          <w:ilvl w:val="0"/>
          <w:numId w:val="9"/>
        </w:numPr>
        <w:jc w:val="both"/>
        <w:rPr>
          <w:rFonts w:cs="Poppins Light"/>
          <w:szCs w:val="21"/>
        </w:rPr>
      </w:pPr>
      <w:r w:rsidRPr="00C403D7">
        <w:rPr>
          <w:rFonts w:cs="Poppins Light"/>
          <w:szCs w:val="21"/>
        </w:rPr>
        <w:t>CBN</w:t>
      </w:r>
      <w:r w:rsidR="008B21F9">
        <w:rPr>
          <w:rFonts w:cs="Poppins Light"/>
          <w:szCs w:val="21"/>
        </w:rPr>
        <w:t xml:space="preserve"> Trade and Exchange Department FX Manual, 20</w:t>
      </w:r>
      <w:r w:rsidR="00B52E19">
        <w:rPr>
          <w:rFonts w:cs="Poppins Light"/>
          <w:szCs w:val="21"/>
        </w:rPr>
        <w:t>18</w:t>
      </w:r>
      <w:r w:rsidRPr="00C403D7">
        <w:rPr>
          <w:rFonts w:cs="Poppins Light"/>
          <w:szCs w:val="21"/>
        </w:rPr>
        <w:t xml:space="preserve"> </w:t>
      </w:r>
    </w:p>
    <w:p w14:paraId="10459152" w14:textId="49F4B348" w:rsidR="00A94EC1" w:rsidRDefault="001F193B" w:rsidP="00943F1D">
      <w:pPr>
        <w:numPr>
          <w:ilvl w:val="0"/>
          <w:numId w:val="9"/>
        </w:numPr>
        <w:jc w:val="both"/>
        <w:rPr>
          <w:rFonts w:cs="Poppins Light"/>
          <w:szCs w:val="21"/>
        </w:rPr>
      </w:pPr>
      <w:r w:rsidRPr="00C403D7">
        <w:rPr>
          <w:rFonts w:cs="Poppins Light"/>
          <w:szCs w:val="21"/>
        </w:rPr>
        <w:t xml:space="preserve">CBN </w:t>
      </w:r>
      <w:r w:rsidR="00A94EC1" w:rsidRPr="00C403D7">
        <w:rPr>
          <w:rFonts w:cs="Poppins Light"/>
          <w:szCs w:val="21"/>
        </w:rPr>
        <w:t xml:space="preserve">Guide to </w:t>
      </w:r>
      <w:r w:rsidR="005A46E5">
        <w:rPr>
          <w:rFonts w:cs="Poppins Light"/>
          <w:szCs w:val="21"/>
        </w:rPr>
        <w:t xml:space="preserve">Charges by Banks, </w:t>
      </w:r>
      <w:r w:rsidR="00450243">
        <w:rPr>
          <w:rFonts w:cs="Poppins Light"/>
          <w:szCs w:val="21"/>
        </w:rPr>
        <w:t>other Financial and Non-Bank Financial Institutions</w:t>
      </w:r>
      <w:r w:rsidR="005D4392">
        <w:rPr>
          <w:rFonts w:cs="Poppins Light"/>
          <w:szCs w:val="21"/>
        </w:rPr>
        <w:t>, 2019</w:t>
      </w:r>
    </w:p>
    <w:p w14:paraId="084E2A16" w14:textId="35FE31AB" w:rsidR="00507A3A" w:rsidRPr="00012B70" w:rsidRDefault="00C54946" w:rsidP="00C403D7">
      <w:pPr>
        <w:numPr>
          <w:ilvl w:val="0"/>
          <w:numId w:val="9"/>
        </w:numPr>
        <w:jc w:val="both"/>
        <w:rPr>
          <w:rFonts w:cs="Poppins Light"/>
          <w:szCs w:val="21"/>
        </w:rPr>
      </w:pPr>
      <w:r>
        <w:rPr>
          <w:rFonts w:cs="Poppins Light"/>
          <w:szCs w:val="21"/>
        </w:rPr>
        <w:t xml:space="preserve">CBN </w:t>
      </w:r>
      <w:r w:rsidR="00A0347E">
        <w:rPr>
          <w:rFonts w:cs="Poppins Light"/>
          <w:szCs w:val="21"/>
        </w:rPr>
        <w:t>Letter to All Banks – New Offer Letter Clause for Credit Facilities</w:t>
      </w:r>
      <w:r w:rsidR="00894CD4">
        <w:rPr>
          <w:rFonts w:cs="Poppins Light"/>
          <w:szCs w:val="21"/>
        </w:rPr>
        <w:t>, 2019</w:t>
      </w:r>
    </w:p>
    <w:p w14:paraId="1259406C" w14:textId="4145FB3F" w:rsidR="000F1076" w:rsidRPr="00DE38DE" w:rsidRDefault="000F1076" w:rsidP="00240726">
      <w:pPr>
        <w:numPr>
          <w:ilvl w:val="0"/>
          <w:numId w:val="9"/>
        </w:numPr>
        <w:jc w:val="both"/>
        <w:rPr>
          <w:rFonts w:cs="Poppins Light"/>
          <w:szCs w:val="21"/>
        </w:rPr>
      </w:pPr>
      <w:r>
        <w:rPr>
          <w:rFonts w:cs="Poppins Light"/>
          <w:szCs w:val="21"/>
        </w:rPr>
        <w:t xml:space="preserve">CBN </w:t>
      </w:r>
      <w:r w:rsidR="00DE38DE">
        <w:rPr>
          <w:rFonts w:cs="Poppins Light"/>
          <w:szCs w:val="21"/>
        </w:rPr>
        <w:t>(Anti Money Laundering, Combating the Financing of Terrorism and Countering Proliferation Financing of Weapons of Mass Destruction in Financial Institutions) Regulations, 2022</w:t>
      </w:r>
    </w:p>
    <w:p w14:paraId="675979DC" w14:textId="77777777" w:rsidR="00DE38DE" w:rsidRPr="00240726" w:rsidRDefault="00DE38DE" w:rsidP="00C403D7">
      <w:pPr>
        <w:ind w:left="720"/>
        <w:jc w:val="both"/>
        <w:rPr>
          <w:rFonts w:cs="Poppins Light"/>
          <w:szCs w:val="21"/>
        </w:rPr>
      </w:pPr>
    </w:p>
    <w:p w14:paraId="7585A79B" w14:textId="53969A2C" w:rsidR="0021253A" w:rsidRPr="00C403D7" w:rsidRDefault="002B1124" w:rsidP="002B1124">
      <w:pPr>
        <w:jc w:val="both"/>
        <w:rPr>
          <w:rFonts w:cs="Poppins Light"/>
          <w:b/>
          <w:szCs w:val="21"/>
        </w:rPr>
      </w:pPr>
      <w:r w:rsidRPr="002B1124">
        <w:rPr>
          <w:rFonts w:cs="Poppins Light"/>
          <w:b/>
          <w:bCs/>
          <w:szCs w:val="21"/>
        </w:rPr>
        <w:t xml:space="preserve">(B) </w:t>
      </w:r>
      <w:r w:rsidR="00240726" w:rsidRPr="002B1124">
        <w:rPr>
          <w:rFonts w:cs="Poppins Light"/>
          <w:b/>
          <w:bCs/>
          <w:szCs w:val="21"/>
        </w:rPr>
        <w:t>Judicial</w:t>
      </w:r>
      <w:r w:rsidR="00240726" w:rsidRPr="00C403D7">
        <w:rPr>
          <w:rFonts w:cs="Poppins Light"/>
          <w:b/>
          <w:szCs w:val="21"/>
        </w:rPr>
        <w:t xml:space="preserve"> Authoritie</w:t>
      </w:r>
      <w:r w:rsidR="00046B61">
        <w:rPr>
          <w:rFonts w:cs="Poppins Light"/>
          <w:b/>
          <w:szCs w:val="21"/>
        </w:rPr>
        <w:t>s</w:t>
      </w:r>
    </w:p>
    <w:p w14:paraId="0E46410C" w14:textId="15D0DA6D" w:rsidR="002B1124" w:rsidRDefault="00853208" w:rsidP="00853208">
      <w:pPr>
        <w:jc w:val="both"/>
        <w:rPr>
          <w:rFonts w:cs="Poppins Light"/>
          <w:iCs/>
          <w:szCs w:val="21"/>
        </w:rPr>
      </w:pPr>
      <w:r>
        <w:rPr>
          <w:rFonts w:cs="Poppins Light"/>
          <w:szCs w:val="21"/>
        </w:rPr>
        <w:t>(</w:t>
      </w:r>
      <w:r w:rsidR="00D077F5">
        <w:rPr>
          <w:rFonts w:cs="Poppins Light"/>
          <w:szCs w:val="21"/>
        </w:rPr>
        <w:t>I)</w:t>
      </w:r>
      <w:r w:rsidR="00857798">
        <w:rPr>
          <w:rFonts w:cs="Poppins Light"/>
          <w:szCs w:val="21"/>
        </w:rPr>
        <w:t xml:space="preserve"> </w:t>
      </w:r>
      <w:r w:rsidRPr="00145664">
        <w:rPr>
          <w:rFonts w:cs="Poppins Light"/>
          <w:i/>
          <w:szCs w:val="21"/>
        </w:rPr>
        <w:t>UBA Plc v Midas Samdra Nig. Limited (2020) LPELR-51254 (CA)</w:t>
      </w:r>
    </w:p>
    <w:p w14:paraId="59B1281A" w14:textId="08584F15" w:rsidR="00D077F5" w:rsidRDefault="00D077F5" w:rsidP="00853208">
      <w:pPr>
        <w:jc w:val="both"/>
        <w:rPr>
          <w:rFonts w:cs="Poppins Light"/>
          <w:i/>
          <w:szCs w:val="21"/>
        </w:rPr>
      </w:pPr>
      <w:r w:rsidRPr="00C403D7">
        <w:rPr>
          <w:rFonts w:cs="Poppins Light"/>
          <w:szCs w:val="21"/>
        </w:rPr>
        <w:t>(II)</w:t>
      </w:r>
      <w:r>
        <w:rPr>
          <w:rFonts w:cs="Poppins Light"/>
          <w:i/>
          <w:szCs w:val="21"/>
        </w:rPr>
        <w:t xml:space="preserve"> </w:t>
      </w:r>
      <w:r w:rsidR="004C5861" w:rsidRPr="004C5861">
        <w:rPr>
          <w:rFonts w:cs="Poppins Light"/>
          <w:i/>
          <w:iCs/>
          <w:szCs w:val="21"/>
        </w:rPr>
        <w:t>First Bank v. Pan Bisbilder (1990) 2 NWLR (Pt. 134) 647 C.A</w:t>
      </w:r>
    </w:p>
    <w:p w14:paraId="1DED6A4D" w14:textId="6A078503" w:rsidR="005F49F5" w:rsidRDefault="005F49F5" w:rsidP="00853208">
      <w:pPr>
        <w:jc w:val="both"/>
        <w:rPr>
          <w:rFonts w:cs="Poppins Light"/>
          <w:szCs w:val="21"/>
        </w:rPr>
      </w:pPr>
      <w:r>
        <w:rPr>
          <w:rFonts w:cs="Poppins Light"/>
          <w:szCs w:val="21"/>
        </w:rPr>
        <w:t xml:space="preserve">(III) </w:t>
      </w:r>
      <w:r w:rsidRPr="005F49F5">
        <w:rPr>
          <w:rFonts w:cs="Poppins Light"/>
          <w:szCs w:val="21"/>
        </w:rPr>
        <w:t>F.B.N. (Nig.) Ltd. v. Osunsedo (1997) 11 NWLR (Pt. 527) 132 C.A</w:t>
      </w:r>
    </w:p>
    <w:p w14:paraId="48AF24B0" w14:textId="3EDE970B" w:rsidR="00010AD8" w:rsidRDefault="00010AD8" w:rsidP="00853208">
      <w:pPr>
        <w:jc w:val="both"/>
        <w:rPr>
          <w:rFonts w:cs="Poppins Light"/>
          <w:szCs w:val="21"/>
        </w:rPr>
      </w:pPr>
      <w:r>
        <w:rPr>
          <w:rFonts w:cs="Poppins Light"/>
          <w:szCs w:val="21"/>
        </w:rPr>
        <w:t xml:space="preserve">(IV) </w:t>
      </w:r>
      <w:r w:rsidRPr="00010AD8">
        <w:rPr>
          <w:rFonts w:cs="Poppins Light"/>
          <w:szCs w:val="21"/>
        </w:rPr>
        <w:t>T</w:t>
      </w:r>
      <w:r>
        <w:rPr>
          <w:rFonts w:cs="Poppins Light"/>
          <w:szCs w:val="21"/>
        </w:rPr>
        <w:t>hor</w:t>
      </w:r>
      <w:r w:rsidRPr="00010AD8">
        <w:rPr>
          <w:rFonts w:cs="Poppins Light"/>
          <w:szCs w:val="21"/>
        </w:rPr>
        <w:t xml:space="preserve"> Ltd v. FCMB Ltd (2005) LPELR-3242 (SC)</w:t>
      </w:r>
    </w:p>
    <w:p w14:paraId="74C54FC8" w14:textId="7FAF2296" w:rsidR="00EE46BE" w:rsidRDefault="00EE46BE" w:rsidP="00EE46BE">
      <w:pPr>
        <w:jc w:val="both"/>
        <w:rPr>
          <w:rFonts w:cs="Poppins Light"/>
          <w:szCs w:val="21"/>
        </w:rPr>
      </w:pPr>
      <w:r w:rsidRPr="00C403D7">
        <w:rPr>
          <w:rFonts w:cs="Poppins Light"/>
          <w:szCs w:val="21"/>
        </w:rPr>
        <w:t>(</w:t>
      </w:r>
      <w:r w:rsidR="00C97F32">
        <w:rPr>
          <w:rFonts w:cs="Poppins Light"/>
          <w:iCs/>
          <w:szCs w:val="21"/>
        </w:rPr>
        <w:t>V</w:t>
      </w:r>
      <w:r w:rsidRPr="00C403D7">
        <w:rPr>
          <w:rFonts w:cs="Poppins Light"/>
          <w:szCs w:val="21"/>
        </w:rPr>
        <w:t>)</w:t>
      </w:r>
      <w:r>
        <w:rPr>
          <w:rFonts w:cs="Poppins Light"/>
          <w:i/>
          <w:szCs w:val="21"/>
        </w:rPr>
        <w:t xml:space="preserve"> </w:t>
      </w:r>
      <w:r w:rsidRPr="00EE46BE">
        <w:rPr>
          <w:rFonts w:cs="Poppins Light"/>
          <w:i/>
          <w:szCs w:val="21"/>
        </w:rPr>
        <w:t>Owena Mass Transportation Co. Ltd v. Enterprise Bank (2014) LPELR-22100 (CA)</w:t>
      </w:r>
      <w:r w:rsidR="0099152F">
        <w:rPr>
          <w:rFonts w:cs="Poppins Light"/>
          <w:szCs w:val="21"/>
        </w:rPr>
        <w:t>;</w:t>
      </w:r>
    </w:p>
    <w:p w14:paraId="0CA69B18" w14:textId="7CCEC64E" w:rsidR="0099152F" w:rsidRDefault="00874CDC" w:rsidP="0099152F">
      <w:pPr>
        <w:jc w:val="both"/>
        <w:rPr>
          <w:rFonts w:cs="Poppins Light"/>
          <w:szCs w:val="21"/>
        </w:rPr>
      </w:pPr>
      <w:r>
        <w:rPr>
          <w:rFonts w:cs="Poppins Light"/>
          <w:szCs w:val="21"/>
        </w:rPr>
        <w:lastRenderedPageBreak/>
        <w:t>(</w:t>
      </w:r>
      <w:r w:rsidR="00AB2664">
        <w:rPr>
          <w:rFonts w:cs="Poppins Light"/>
          <w:szCs w:val="21"/>
        </w:rPr>
        <w:t>VI</w:t>
      </w:r>
      <w:r w:rsidR="004F12BB">
        <w:rPr>
          <w:rFonts w:cs="Poppins Light"/>
          <w:szCs w:val="21"/>
        </w:rPr>
        <w:t xml:space="preserve">) </w:t>
      </w:r>
      <w:r w:rsidR="0099152F" w:rsidRPr="0099152F">
        <w:rPr>
          <w:rFonts w:cs="Poppins Light"/>
          <w:szCs w:val="21"/>
        </w:rPr>
        <w:t>Everly United Associates Ltd. &amp; Anor v FBN LTD. (2025) LPELR- 81736 (CA)</w:t>
      </w:r>
    </w:p>
    <w:p w14:paraId="5EE645D3" w14:textId="239A9B3E" w:rsidR="00A43B3B" w:rsidRDefault="00A43B3B" w:rsidP="0099152F">
      <w:pPr>
        <w:jc w:val="both"/>
        <w:rPr>
          <w:rFonts w:cs="Poppins Light"/>
          <w:szCs w:val="21"/>
        </w:rPr>
      </w:pPr>
      <w:r>
        <w:rPr>
          <w:rFonts w:cs="Poppins Light"/>
          <w:szCs w:val="21"/>
        </w:rPr>
        <w:t>(V</w:t>
      </w:r>
      <w:r w:rsidR="00AB2664">
        <w:rPr>
          <w:rFonts w:cs="Poppins Light"/>
          <w:szCs w:val="21"/>
        </w:rPr>
        <w:t>II</w:t>
      </w:r>
      <w:r>
        <w:rPr>
          <w:rFonts w:cs="Poppins Light"/>
          <w:szCs w:val="21"/>
        </w:rPr>
        <w:t xml:space="preserve">) </w:t>
      </w:r>
      <w:r w:rsidRPr="00A43B3B">
        <w:rPr>
          <w:rFonts w:cs="Poppins Light"/>
          <w:szCs w:val="21"/>
        </w:rPr>
        <w:t>First Bank v. Pan Bisbilder (1990) 2 NWLR (Pt. 134) 647 C.A,</w:t>
      </w:r>
    </w:p>
    <w:p w14:paraId="4F86D7BC" w14:textId="77777777" w:rsidR="004518D1" w:rsidRPr="00C403D7" w:rsidRDefault="004518D1" w:rsidP="00943F1D">
      <w:pPr>
        <w:jc w:val="both"/>
        <w:rPr>
          <w:rFonts w:cs="Poppins Light"/>
          <w:b/>
          <w:bCs/>
          <w:szCs w:val="21"/>
        </w:rPr>
      </w:pPr>
    </w:p>
    <w:p w14:paraId="05C9210B" w14:textId="55ED9DE6" w:rsidR="00090486" w:rsidRDefault="005F4720" w:rsidP="00943F1D">
      <w:pPr>
        <w:jc w:val="both"/>
        <w:rPr>
          <w:rFonts w:cs="Poppins Light"/>
          <w:b/>
          <w:bCs/>
          <w:szCs w:val="21"/>
        </w:rPr>
      </w:pPr>
      <w:r>
        <w:rPr>
          <w:rFonts w:cs="Poppins Light"/>
          <w:b/>
          <w:bCs/>
          <w:szCs w:val="21"/>
        </w:rPr>
        <w:t xml:space="preserve">3. </w:t>
      </w:r>
      <w:r w:rsidR="00D12DBA">
        <w:rPr>
          <w:rFonts w:cs="Poppins Light"/>
          <w:b/>
          <w:bCs/>
          <w:szCs w:val="21"/>
        </w:rPr>
        <w:t>KEY DOCUMENT REVIE</w:t>
      </w:r>
      <w:r w:rsidR="00090486">
        <w:rPr>
          <w:rFonts w:cs="Poppins Light"/>
          <w:b/>
          <w:bCs/>
          <w:szCs w:val="21"/>
        </w:rPr>
        <w:t xml:space="preserve">W OUTCOMES  </w:t>
      </w:r>
    </w:p>
    <w:p w14:paraId="0E6698D1" w14:textId="21F7A4F6" w:rsidR="003F2EAB" w:rsidRPr="00C403D7" w:rsidRDefault="00090486" w:rsidP="00943F1D">
      <w:pPr>
        <w:jc w:val="both"/>
        <w:rPr>
          <w:rFonts w:cs="Poppins Light"/>
          <w:szCs w:val="21"/>
        </w:rPr>
      </w:pPr>
      <w:r w:rsidRPr="00C403D7">
        <w:rPr>
          <w:rFonts w:cs="Poppins Light"/>
          <w:szCs w:val="21"/>
        </w:rPr>
        <w:t xml:space="preserve">Below </w:t>
      </w:r>
      <w:r w:rsidR="00E24D69" w:rsidRPr="00C403D7">
        <w:rPr>
          <w:rFonts w:cs="Poppins Light"/>
          <w:szCs w:val="21"/>
        </w:rPr>
        <w:t>is a summary of material revisions and e</w:t>
      </w:r>
      <w:r w:rsidR="00A05E03" w:rsidRPr="00C403D7">
        <w:rPr>
          <w:rFonts w:cs="Poppins Light"/>
          <w:szCs w:val="21"/>
        </w:rPr>
        <w:t xml:space="preserve">nhancements made across the documentation suite: </w:t>
      </w:r>
    </w:p>
    <w:tbl>
      <w:tblPr>
        <w:tblStyle w:val="TableGrid"/>
        <w:tblW w:w="0" w:type="auto"/>
        <w:tblLook w:val="04A0" w:firstRow="1" w:lastRow="0" w:firstColumn="1" w:lastColumn="0" w:noHBand="0" w:noVBand="1"/>
      </w:tblPr>
      <w:tblGrid>
        <w:gridCol w:w="2122"/>
        <w:gridCol w:w="6894"/>
      </w:tblGrid>
      <w:tr w:rsidR="0031715B" w:rsidRPr="00BB7675" w14:paraId="7F3CF537" w14:textId="77777777" w:rsidTr="0031715B">
        <w:tc>
          <w:tcPr>
            <w:tcW w:w="2122" w:type="dxa"/>
          </w:tcPr>
          <w:p w14:paraId="172E07D4" w14:textId="281851BA" w:rsidR="0031715B" w:rsidRPr="00C403D7" w:rsidRDefault="0031715B" w:rsidP="00DD4F1C">
            <w:pPr>
              <w:spacing w:after="80"/>
              <w:jc w:val="both"/>
              <w:rPr>
                <w:rFonts w:cs="Poppins Light"/>
                <w:b/>
                <w:bCs/>
                <w:szCs w:val="21"/>
              </w:rPr>
            </w:pPr>
            <w:r w:rsidRPr="00C403D7">
              <w:rPr>
                <w:rFonts w:cs="Poppins Light"/>
                <w:b/>
                <w:bCs/>
                <w:szCs w:val="21"/>
              </w:rPr>
              <w:t>Document</w:t>
            </w:r>
          </w:p>
        </w:tc>
        <w:tc>
          <w:tcPr>
            <w:tcW w:w="6894" w:type="dxa"/>
          </w:tcPr>
          <w:p w14:paraId="5BEF1D1E" w14:textId="4FA7BE5E" w:rsidR="00DD4F1C" w:rsidRPr="00C403D7" w:rsidRDefault="0026642F" w:rsidP="00DD4F1C">
            <w:pPr>
              <w:spacing w:after="80"/>
              <w:jc w:val="both"/>
              <w:rPr>
                <w:rFonts w:cs="Poppins Light"/>
                <w:b/>
                <w:bCs/>
                <w:szCs w:val="21"/>
              </w:rPr>
            </w:pPr>
            <w:r>
              <w:rPr>
                <w:rFonts w:cs="Poppins Light"/>
                <w:b/>
                <w:bCs/>
                <w:szCs w:val="21"/>
              </w:rPr>
              <w:t xml:space="preserve">Review Outcome </w:t>
            </w:r>
          </w:p>
        </w:tc>
      </w:tr>
      <w:tr w:rsidR="0031715B" w:rsidRPr="00BB7675" w14:paraId="270780C1" w14:textId="77777777" w:rsidTr="0031715B">
        <w:tc>
          <w:tcPr>
            <w:tcW w:w="2122" w:type="dxa"/>
            <w:vAlign w:val="center"/>
          </w:tcPr>
          <w:p w14:paraId="60983FB5" w14:textId="6990FBF3" w:rsidR="00DD4F1C" w:rsidRPr="00C403D7" w:rsidRDefault="0031715B" w:rsidP="00DD4F1C">
            <w:pPr>
              <w:spacing w:after="80"/>
              <w:rPr>
                <w:rFonts w:cs="Poppins Light"/>
                <w:szCs w:val="21"/>
              </w:rPr>
            </w:pPr>
            <w:r w:rsidRPr="00C403D7">
              <w:rPr>
                <w:rFonts w:cs="Poppins Light"/>
                <w:szCs w:val="21"/>
              </w:rPr>
              <w:t>BOI Facility Agreement</w:t>
            </w:r>
          </w:p>
        </w:tc>
        <w:tc>
          <w:tcPr>
            <w:tcW w:w="6894" w:type="dxa"/>
            <w:vAlign w:val="center"/>
          </w:tcPr>
          <w:p w14:paraId="5747F776" w14:textId="77777777" w:rsidR="0026642F" w:rsidRPr="0026642F" w:rsidRDefault="0026642F" w:rsidP="0026642F">
            <w:pPr>
              <w:spacing w:after="80"/>
              <w:jc w:val="both"/>
              <w:rPr>
                <w:rFonts w:cs="Poppins Light"/>
                <w:szCs w:val="21"/>
              </w:rPr>
            </w:pPr>
            <w:r w:rsidRPr="0026642F">
              <w:rPr>
                <w:rFonts w:cs="Poppins Light"/>
                <w:szCs w:val="21"/>
              </w:rPr>
              <w:t>The revised BOI Facility Agreement now substantially aligns with LMA-style facility documentation. Key enhancements include:</w:t>
            </w:r>
          </w:p>
          <w:p w14:paraId="3D43AF83" w14:textId="77777777" w:rsidR="001E7581" w:rsidRDefault="001E7581" w:rsidP="001E7581">
            <w:pPr>
              <w:spacing w:after="80"/>
              <w:jc w:val="both"/>
              <w:rPr>
                <w:rFonts w:cs="Poppins Light"/>
                <w:szCs w:val="21"/>
              </w:rPr>
            </w:pPr>
          </w:p>
          <w:p w14:paraId="7EED3F35" w14:textId="77777777" w:rsidR="0026642F" w:rsidRPr="001E7581" w:rsidRDefault="0026642F" w:rsidP="00C403D7">
            <w:pPr>
              <w:pStyle w:val="ListParagraph"/>
              <w:numPr>
                <w:ilvl w:val="0"/>
                <w:numId w:val="26"/>
              </w:numPr>
              <w:spacing w:after="80"/>
              <w:jc w:val="both"/>
              <w:rPr>
                <w:rFonts w:cs="Poppins Light"/>
                <w:szCs w:val="21"/>
              </w:rPr>
            </w:pPr>
            <w:r w:rsidRPr="001E7581">
              <w:rPr>
                <w:rFonts w:cs="Poppins Light"/>
                <w:szCs w:val="21"/>
              </w:rPr>
              <w:t xml:space="preserve">Introduction of robust and harmonised definitions (including </w:t>
            </w:r>
            <w:r w:rsidRPr="00C403D7">
              <w:rPr>
                <w:rFonts w:cs="Poppins Light"/>
                <w:i/>
                <w:iCs/>
                <w:szCs w:val="21"/>
              </w:rPr>
              <w:t>Distribution</w:t>
            </w:r>
            <w:r w:rsidRPr="001E7581">
              <w:rPr>
                <w:rFonts w:cs="Poppins Light"/>
                <w:szCs w:val="21"/>
              </w:rPr>
              <w:t xml:space="preserve">, </w:t>
            </w:r>
            <w:r w:rsidRPr="00C403D7">
              <w:rPr>
                <w:rFonts w:cs="Poppins Light"/>
                <w:i/>
                <w:iCs/>
                <w:szCs w:val="21"/>
              </w:rPr>
              <w:t>Financial Indebtedness</w:t>
            </w:r>
            <w:r w:rsidRPr="001E7581">
              <w:rPr>
                <w:rFonts w:cs="Poppins Light"/>
                <w:szCs w:val="21"/>
              </w:rPr>
              <w:t xml:space="preserve">, </w:t>
            </w:r>
            <w:r w:rsidRPr="00C403D7">
              <w:rPr>
                <w:rFonts w:cs="Poppins Light"/>
                <w:i/>
                <w:iCs/>
                <w:szCs w:val="21"/>
              </w:rPr>
              <w:t>Permitted Financial Indebtedness</w:t>
            </w:r>
            <w:r w:rsidRPr="001E7581">
              <w:rPr>
                <w:rFonts w:cs="Poppins Light"/>
                <w:szCs w:val="21"/>
              </w:rPr>
              <w:t xml:space="preserve">, </w:t>
            </w:r>
            <w:r w:rsidRPr="00C403D7">
              <w:rPr>
                <w:rFonts w:cs="Poppins Light"/>
                <w:i/>
                <w:iCs/>
                <w:szCs w:val="21"/>
              </w:rPr>
              <w:t>Sanctions</w:t>
            </w:r>
            <w:r w:rsidRPr="001E7581">
              <w:rPr>
                <w:rFonts w:cs="Poppins Light"/>
                <w:szCs w:val="21"/>
              </w:rPr>
              <w:t xml:space="preserve">, </w:t>
            </w:r>
            <w:r w:rsidRPr="00C403D7">
              <w:rPr>
                <w:rFonts w:cs="Poppins Light"/>
                <w:i/>
                <w:iCs/>
                <w:szCs w:val="21"/>
              </w:rPr>
              <w:t>Sanctions List</w:t>
            </w:r>
            <w:r w:rsidRPr="001E7581">
              <w:rPr>
                <w:rFonts w:cs="Poppins Light"/>
                <w:szCs w:val="21"/>
              </w:rPr>
              <w:t xml:space="preserve">, and </w:t>
            </w:r>
            <w:r w:rsidRPr="00C403D7">
              <w:rPr>
                <w:rFonts w:cs="Poppins Light"/>
                <w:i/>
                <w:iCs/>
                <w:szCs w:val="21"/>
              </w:rPr>
              <w:t>Restricted Party</w:t>
            </w:r>
            <w:r w:rsidRPr="001E7581">
              <w:rPr>
                <w:rFonts w:cs="Poppins Light"/>
                <w:szCs w:val="21"/>
              </w:rPr>
              <w:t>);</w:t>
            </w:r>
          </w:p>
          <w:p w14:paraId="6E9ED02F" w14:textId="77777777" w:rsidR="0026642F" w:rsidRPr="0026642F" w:rsidRDefault="0026642F" w:rsidP="0026642F">
            <w:pPr>
              <w:numPr>
                <w:ilvl w:val="0"/>
                <w:numId w:val="26"/>
              </w:numPr>
              <w:spacing w:after="80"/>
              <w:jc w:val="both"/>
              <w:rPr>
                <w:rFonts w:cs="Poppins Light"/>
                <w:szCs w:val="21"/>
              </w:rPr>
            </w:pPr>
            <w:r w:rsidRPr="0026642F">
              <w:rPr>
                <w:rFonts w:cs="Poppins Light"/>
                <w:szCs w:val="21"/>
              </w:rPr>
              <w:t>Expansion of Mandatory Prepayment Events to reflect international standards;</w:t>
            </w:r>
          </w:p>
          <w:p w14:paraId="5DA585B2" w14:textId="77777777" w:rsidR="0026642F" w:rsidRPr="0026642F" w:rsidRDefault="0026642F" w:rsidP="0026642F">
            <w:pPr>
              <w:numPr>
                <w:ilvl w:val="0"/>
                <w:numId w:val="26"/>
              </w:numPr>
              <w:spacing w:after="80"/>
              <w:jc w:val="both"/>
              <w:rPr>
                <w:rFonts w:cs="Poppins Light"/>
                <w:szCs w:val="21"/>
              </w:rPr>
            </w:pPr>
            <w:r w:rsidRPr="0026642F">
              <w:rPr>
                <w:rFonts w:cs="Poppins Light"/>
                <w:szCs w:val="21"/>
              </w:rPr>
              <w:t>Strengthening of Financial Covenants;</w:t>
            </w:r>
          </w:p>
          <w:p w14:paraId="3206E9C9" w14:textId="77777777" w:rsidR="0026642F" w:rsidRPr="0026642F" w:rsidRDefault="0026642F" w:rsidP="0026642F">
            <w:pPr>
              <w:numPr>
                <w:ilvl w:val="0"/>
                <w:numId w:val="26"/>
              </w:numPr>
              <w:spacing w:after="80"/>
              <w:jc w:val="both"/>
              <w:rPr>
                <w:rFonts w:cs="Poppins Light"/>
                <w:szCs w:val="21"/>
              </w:rPr>
            </w:pPr>
            <w:r w:rsidRPr="0026642F">
              <w:rPr>
                <w:rFonts w:cs="Poppins Light"/>
                <w:szCs w:val="21"/>
              </w:rPr>
              <w:t>Comprehensive revision of General Undertakings; and</w:t>
            </w:r>
          </w:p>
          <w:p w14:paraId="4E43A1FB" w14:textId="77777777" w:rsidR="0026642F" w:rsidRDefault="0026642F" w:rsidP="0026642F">
            <w:pPr>
              <w:numPr>
                <w:ilvl w:val="0"/>
                <w:numId w:val="26"/>
              </w:numPr>
              <w:spacing w:after="80"/>
              <w:jc w:val="both"/>
              <w:rPr>
                <w:rFonts w:cs="Poppins Light"/>
                <w:szCs w:val="21"/>
              </w:rPr>
            </w:pPr>
            <w:r w:rsidRPr="0026642F">
              <w:rPr>
                <w:rFonts w:cs="Poppins Light"/>
                <w:szCs w:val="21"/>
              </w:rPr>
              <w:t>Enhanced sanctions and compliance representations.</w:t>
            </w:r>
          </w:p>
          <w:p w14:paraId="0B7B03B0" w14:textId="77777777" w:rsidR="006577BC" w:rsidRPr="0026642F" w:rsidRDefault="006577BC" w:rsidP="006577BC">
            <w:pPr>
              <w:spacing w:after="80"/>
              <w:ind w:left="720"/>
              <w:jc w:val="both"/>
              <w:rPr>
                <w:rFonts w:cs="Poppins Light"/>
                <w:szCs w:val="21"/>
              </w:rPr>
            </w:pPr>
          </w:p>
          <w:p w14:paraId="4BD0DEFE" w14:textId="71664DFD" w:rsidR="007430C5" w:rsidRPr="00C403D7" w:rsidRDefault="0026642F" w:rsidP="006577BC">
            <w:pPr>
              <w:spacing w:after="80"/>
              <w:jc w:val="both"/>
              <w:rPr>
                <w:rFonts w:cs="Poppins Light"/>
                <w:szCs w:val="21"/>
              </w:rPr>
            </w:pPr>
            <w:r w:rsidRPr="0026642F">
              <w:rPr>
                <w:rFonts w:cs="Poppins Light"/>
                <w:szCs w:val="21"/>
              </w:rPr>
              <w:t>The revised agreement now reflects international market standards and improved credit protection architecture</w:t>
            </w:r>
            <w:r w:rsidR="008F7B1D">
              <w:rPr>
                <w:rFonts w:cs="Poppins Light"/>
                <w:szCs w:val="21"/>
              </w:rPr>
              <w:t xml:space="preserve"> </w:t>
            </w:r>
            <w:r w:rsidR="00BB3CFF">
              <w:rPr>
                <w:rFonts w:cs="Poppins Light"/>
                <w:szCs w:val="21"/>
              </w:rPr>
              <w:t xml:space="preserve">changes are consistent with </w:t>
            </w:r>
            <w:r w:rsidR="00726A24">
              <w:rPr>
                <w:rFonts w:cs="Poppins Light"/>
                <w:szCs w:val="21"/>
              </w:rPr>
              <w:t xml:space="preserve">LMA standard and </w:t>
            </w:r>
            <w:r w:rsidR="004B5513">
              <w:rPr>
                <w:rFonts w:cs="Poppins Light"/>
                <w:szCs w:val="21"/>
              </w:rPr>
              <w:t>in</w:t>
            </w:r>
            <w:r w:rsidR="00C4748E">
              <w:rPr>
                <w:rFonts w:cs="Poppins Light"/>
                <w:szCs w:val="21"/>
              </w:rPr>
              <w:t>ternational standards.</w:t>
            </w:r>
            <w:r w:rsidR="00E1054B">
              <w:rPr>
                <w:rFonts w:cs="Poppins Light"/>
                <w:szCs w:val="21"/>
              </w:rPr>
              <w:t xml:space="preserve"> </w:t>
            </w:r>
          </w:p>
        </w:tc>
      </w:tr>
    </w:tbl>
    <w:p w14:paraId="2D599BA8" w14:textId="77777777" w:rsidR="0003222A" w:rsidRDefault="0003222A">
      <w:r>
        <w:br w:type="page"/>
      </w:r>
    </w:p>
    <w:tbl>
      <w:tblPr>
        <w:tblStyle w:val="TableGrid"/>
        <w:tblW w:w="0" w:type="auto"/>
        <w:tblLook w:val="04A0" w:firstRow="1" w:lastRow="0" w:firstColumn="1" w:lastColumn="0" w:noHBand="0" w:noVBand="1"/>
      </w:tblPr>
      <w:tblGrid>
        <w:gridCol w:w="2122"/>
        <w:gridCol w:w="6894"/>
      </w:tblGrid>
      <w:tr w:rsidR="0031715B" w:rsidRPr="00BB7675" w14:paraId="01B47A9B" w14:textId="77777777" w:rsidTr="0031715B">
        <w:tc>
          <w:tcPr>
            <w:tcW w:w="2122" w:type="dxa"/>
            <w:vAlign w:val="center"/>
          </w:tcPr>
          <w:p w14:paraId="65E334B8" w14:textId="54BB37D4" w:rsidR="00DD4F1C" w:rsidRPr="00C403D7" w:rsidRDefault="0031715B" w:rsidP="00DD4F1C">
            <w:pPr>
              <w:spacing w:after="80"/>
              <w:rPr>
                <w:rFonts w:cs="Poppins Light"/>
                <w:szCs w:val="21"/>
              </w:rPr>
            </w:pPr>
            <w:r w:rsidRPr="00C403D7">
              <w:rPr>
                <w:rFonts w:cs="Poppins Light"/>
                <w:szCs w:val="21"/>
              </w:rPr>
              <w:lastRenderedPageBreak/>
              <w:t>All Asset Debenture</w:t>
            </w:r>
          </w:p>
        </w:tc>
        <w:tc>
          <w:tcPr>
            <w:tcW w:w="6894" w:type="dxa"/>
          </w:tcPr>
          <w:p w14:paraId="41884335" w14:textId="77777777" w:rsidR="00A02549" w:rsidRDefault="002D1C16" w:rsidP="00964420">
            <w:pPr>
              <w:spacing w:after="80"/>
              <w:jc w:val="both"/>
              <w:rPr>
                <w:rFonts w:cs="Poppins Light"/>
                <w:szCs w:val="21"/>
              </w:rPr>
            </w:pPr>
            <w:r w:rsidRPr="002D1C16">
              <w:rPr>
                <w:rFonts w:cs="Poppins Light"/>
                <w:szCs w:val="21"/>
              </w:rPr>
              <w:t xml:space="preserve">The </w:t>
            </w:r>
            <w:r w:rsidR="00A02549" w:rsidRPr="002D1C16">
              <w:rPr>
                <w:rFonts w:cs="Poppins Light"/>
                <w:szCs w:val="21"/>
              </w:rPr>
              <w:t>All-Assets</w:t>
            </w:r>
            <w:r w:rsidRPr="002D1C16">
              <w:rPr>
                <w:rFonts w:cs="Poppins Light"/>
                <w:szCs w:val="21"/>
              </w:rPr>
              <w:t xml:space="preserve"> Debenture was comprehensively restructured in line with LMA-style security documentation and global secured lending practice</w:t>
            </w:r>
            <w:r>
              <w:rPr>
                <w:rFonts w:cs="Poppins Light"/>
                <w:szCs w:val="21"/>
              </w:rPr>
              <w:t xml:space="preserve">. </w:t>
            </w:r>
            <w:r w:rsidR="002624C4">
              <w:rPr>
                <w:rFonts w:cs="Poppins Light"/>
                <w:szCs w:val="21"/>
              </w:rPr>
              <w:t xml:space="preserve"> </w:t>
            </w:r>
          </w:p>
          <w:p w14:paraId="64451942" w14:textId="1CFC97E2" w:rsidR="002624C4" w:rsidRDefault="002624C4" w:rsidP="00964420">
            <w:pPr>
              <w:spacing w:after="80"/>
              <w:jc w:val="both"/>
              <w:rPr>
                <w:rFonts w:cs="Poppins Light"/>
                <w:szCs w:val="21"/>
              </w:rPr>
            </w:pPr>
            <w:r w:rsidRPr="002624C4">
              <w:rPr>
                <w:rFonts w:cs="Poppins Light"/>
                <w:szCs w:val="21"/>
              </w:rPr>
              <w:t>New and strengthened clauses include</w:t>
            </w:r>
            <w:r>
              <w:rPr>
                <w:rFonts w:cs="Poppins Light"/>
                <w:szCs w:val="21"/>
              </w:rPr>
              <w:t xml:space="preserve"> </w:t>
            </w:r>
            <w:r w:rsidRPr="002624C4">
              <w:rPr>
                <w:rFonts w:cs="Poppins Light"/>
                <w:szCs w:val="21"/>
              </w:rPr>
              <w:t>Continuity of Security</w:t>
            </w:r>
            <w:r>
              <w:rPr>
                <w:rFonts w:cs="Poppins Light"/>
                <w:szCs w:val="21"/>
              </w:rPr>
              <w:t xml:space="preserve">, </w:t>
            </w:r>
            <w:r w:rsidRPr="002624C4">
              <w:rPr>
                <w:rFonts w:cs="Poppins Light"/>
                <w:szCs w:val="21"/>
              </w:rPr>
              <w:t>Negative Pledge</w:t>
            </w:r>
            <w:r w:rsidR="00005D91">
              <w:rPr>
                <w:rFonts w:cs="Poppins Light"/>
                <w:szCs w:val="21"/>
              </w:rPr>
              <w:t xml:space="preserve">, </w:t>
            </w:r>
            <w:r w:rsidRPr="002624C4">
              <w:rPr>
                <w:rFonts w:cs="Poppins Light"/>
                <w:szCs w:val="21"/>
              </w:rPr>
              <w:t>Further Assurance</w:t>
            </w:r>
            <w:r w:rsidR="00391C61">
              <w:rPr>
                <w:rFonts w:cs="Poppins Light"/>
                <w:szCs w:val="21"/>
              </w:rPr>
              <w:t xml:space="preserve">, </w:t>
            </w:r>
            <w:r w:rsidRPr="002624C4">
              <w:rPr>
                <w:rFonts w:cs="Poppins Light"/>
                <w:szCs w:val="21"/>
              </w:rPr>
              <w:t>Avoidance of Payments</w:t>
            </w:r>
            <w:r w:rsidR="00391C61">
              <w:rPr>
                <w:rFonts w:cs="Poppins Light"/>
                <w:szCs w:val="21"/>
              </w:rPr>
              <w:t xml:space="preserve">, </w:t>
            </w:r>
            <w:r w:rsidRPr="002624C4">
              <w:rPr>
                <w:rFonts w:cs="Poppins Light"/>
                <w:szCs w:val="21"/>
              </w:rPr>
              <w:t>Prior Charges</w:t>
            </w:r>
            <w:r w:rsidR="00964420">
              <w:rPr>
                <w:rFonts w:cs="Poppins Light"/>
                <w:szCs w:val="21"/>
              </w:rPr>
              <w:t xml:space="preserve">, </w:t>
            </w:r>
            <w:r w:rsidRPr="002624C4">
              <w:rPr>
                <w:rFonts w:cs="Poppins Light"/>
                <w:szCs w:val="21"/>
              </w:rPr>
              <w:t>Indemnity and Protection of Third Parties;</w:t>
            </w:r>
            <w:r w:rsidR="00964420">
              <w:rPr>
                <w:rFonts w:cs="Poppins Light"/>
                <w:szCs w:val="21"/>
              </w:rPr>
              <w:t xml:space="preserve"> and </w:t>
            </w:r>
            <w:r w:rsidRPr="002624C4">
              <w:rPr>
                <w:rFonts w:cs="Poppins Light"/>
                <w:szCs w:val="21"/>
              </w:rPr>
              <w:t>Expanded enforcement mechanics</w:t>
            </w:r>
            <w:r w:rsidR="008F7B1D">
              <w:rPr>
                <w:rFonts w:cs="Poppins Light"/>
                <w:szCs w:val="21"/>
              </w:rPr>
              <w:t>.</w:t>
            </w:r>
          </w:p>
          <w:p w14:paraId="22542053" w14:textId="77777777" w:rsidR="008F7B1D" w:rsidRDefault="008F7B1D" w:rsidP="00964420">
            <w:pPr>
              <w:spacing w:after="80"/>
              <w:jc w:val="both"/>
              <w:rPr>
                <w:rFonts w:cs="Poppins Light"/>
                <w:szCs w:val="21"/>
              </w:rPr>
            </w:pPr>
          </w:p>
          <w:p w14:paraId="586A510E" w14:textId="0ED4BE53" w:rsidR="00E44F4A" w:rsidRPr="00C403D7" w:rsidRDefault="006E3A74" w:rsidP="00C403D7">
            <w:pPr>
              <w:spacing w:after="80"/>
              <w:jc w:val="both"/>
              <w:rPr>
                <w:rFonts w:cs="Poppins Light"/>
                <w:szCs w:val="21"/>
              </w:rPr>
            </w:pPr>
            <w:r w:rsidRPr="006E3A74">
              <w:rPr>
                <w:rFonts w:cs="Poppins Light"/>
                <w:szCs w:val="21"/>
              </w:rPr>
              <w:t>These revisions materially enhance the Bank’s secured creditor position and enforcement resilience.</w:t>
            </w:r>
          </w:p>
        </w:tc>
      </w:tr>
      <w:tr w:rsidR="0031715B" w:rsidRPr="00BB7675" w14:paraId="0C1AE269" w14:textId="77777777" w:rsidTr="0031715B">
        <w:tc>
          <w:tcPr>
            <w:tcW w:w="2122" w:type="dxa"/>
          </w:tcPr>
          <w:p w14:paraId="03D02ABC" w14:textId="229DE6C2" w:rsidR="0031715B" w:rsidRPr="00C403D7" w:rsidRDefault="0031715B" w:rsidP="00DD4F1C">
            <w:pPr>
              <w:spacing w:after="80"/>
              <w:rPr>
                <w:rFonts w:cs="Poppins Light"/>
                <w:szCs w:val="21"/>
              </w:rPr>
            </w:pPr>
            <w:r w:rsidRPr="00C403D7">
              <w:rPr>
                <w:rFonts w:cs="Poppins Light"/>
                <w:szCs w:val="21"/>
              </w:rPr>
              <w:t>Overdraft Agreements</w:t>
            </w:r>
          </w:p>
        </w:tc>
        <w:tc>
          <w:tcPr>
            <w:tcW w:w="6894" w:type="dxa"/>
          </w:tcPr>
          <w:p w14:paraId="115166D0" w14:textId="77777777" w:rsidR="00A168F5" w:rsidRDefault="00EA1171" w:rsidP="00327772">
            <w:pPr>
              <w:spacing w:after="80"/>
              <w:jc w:val="both"/>
              <w:rPr>
                <w:rFonts w:cs="Poppins Light"/>
                <w:szCs w:val="21"/>
              </w:rPr>
            </w:pPr>
            <w:r w:rsidRPr="00EA1171">
              <w:rPr>
                <w:rFonts w:cs="Poppins Light"/>
                <w:szCs w:val="21"/>
              </w:rPr>
              <w:t>The Overdraft Agreements were reviewed against prevailing judicial authorities and CBN regulatory requirements</w:t>
            </w:r>
            <w:r w:rsidR="00A168F5">
              <w:rPr>
                <w:rFonts w:cs="Poppins Light"/>
                <w:szCs w:val="21"/>
              </w:rPr>
              <w:t xml:space="preserve">. </w:t>
            </w:r>
          </w:p>
          <w:p w14:paraId="11C9BE52" w14:textId="77777777" w:rsidR="00A168F5" w:rsidRDefault="00A168F5" w:rsidP="00327772">
            <w:pPr>
              <w:spacing w:after="80"/>
              <w:jc w:val="both"/>
              <w:rPr>
                <w:rFonts w:cs="Poppins Light"/>
                <w:szCs w:val="21"/>
              </w:rPr>
            </w:pPr>
          </w:p>
          <w:p w14:paraId="4A7A2841" w14:textId="77777777" w:rsidR="00562552" w:rsidRPr="00562552" w:rsidRDefault="00562552" w:rsidP="00562552">
            <w:pPr>
              <w:spacing w:after="80"/>
              <w:jc w:val="both"/>
              <w:rPr>
                <w:rFonts w:cs="Poppins Light"/>
                <w:szCs w:val="21"/>
              </w:rPr>
            </w:pPr>
            <w:r w:rsidRPr="00562552">
              <w:rPr>
                <w:rFonts w:cs="Poppins Light"/>
                <w:szCs w:val="21"/>
              </w:rPr>
              <w:t>Key revisions include:</w:t>
            </w:r>
          </w:p>
          <w:p w14:paraId="3C85BA06" w14:textId="77777777" w:rsidR="00562552" w:rsidRDefault="00562552" w:rsidP="00562552">
            <w:pPr>
              <w:spacing w:after="80"/>
              <w:jc w:val="both"/>
              <w:rPr>
                <w:rFonts w:cs="Poppins Light"/>
                <w:szCs w:val="21"/>
              </w:rPr>
            </w:pPr>
          </w:p>
          <w:p w14:paraId="4B671E41" w14:textId="60CC5B15" w:rsidR="00562552" w:rsidRPr="00562552" w:rsidRDefault="00562552" w:rsidP="00C403D7">
            <w:pPr>
              <w:pStyle w:val="ListParagraph"/>
              <w:numPr>
                <w:ilvl w:val="0"/>
                <w:numId w:val="28"/>
              </w:numPr>
              <w:spacing w:after="80"/>
              <w:jc w:val="both"/>
              <w:rPr>
                <w:rFonts w:cs="Poppins Light"/>
                <w:szCs w:val="21"/>
              </w:rPr>
            </w:pPr>
            <w:r w:rsidRPr="00562552">
              <w:rPr>
                <w:rFonts w:cs="Poppins Light"/>
                <w:szCs w:val="21"/>
              </w:rPr>
              <w:t xml:space="preserve">Clear specification of commercial terms (interest rate, tenure, fees), consistent with </w:t>
            </w:r>
            <w:r w:rsidRPr="00562552">
              <w:rPr>
                <w:rFonts w:cs="Poppins Light"/>
                <w:i/>
                <w:iCs/>
                <w:szCs w:val="21"/>
              </w:rPr>
              <w:t>Owena Mass Transportation Co. Ltd v. Enterprise Bank (2014)</w:t>
            </w:r>
            <w:r w:rsidRPr="00562552">
              <w:rPr>
                <w:rFonts w:cs="Poppins Light"/>
                <w:szCs w:val="21"/>
              </w:rPr>
              <w:t>;</w:t>
            </w:r>
          </w:p>
          <w:p w14:paraId="4E0078E2" w14:textId="77777777" w:rsidR="00562552" w:rsidRPr="00562552" w:rsidRDefault="00562552" w:rsidP="00562552">
            <w:pPr>
              <w:numPr>
                <w:ilvl w:val="0"/>
                <w:numId w:val="28"/>
              </w:numPr>
              <w:spacing w:after="80"/>
              <w:jc w:val="both"/>
              <w:rPr>
                <w:rFonts w:cs="Poppins Light"/>
                <w:szCs w:val="21"/>
              </w:rPr>
            </w:pPr>
            <w:r w:rsidRPr="00562552">
              <w:rPr>
                <w:rFonts w:cs="Poppins Light"/>
                <w:szCs w:val="21"/>
              </w:rPr>
              <w:t>Removal of provisions permitting unilateral variation or cancellation without notice, to align with the CBN Consumer Protection Regulations;</w:t>
            </w:r>
          </w:p>
          <w:p w14:paraId="032A44B5" w14:textId="77777777" w:rsidR="00562552" w:rsidRPr="00562552" w:rsidRDefault="00562552" w:rsidP="00562552">
            <w:pPr>
              <w:numPr>
                <w:ilvl w:val="0"/>
                <w:numId w:val="28"/>
              </w:numPr>
              <w:spacing w:after="80"/>
              <w:jc w:val="both"/>
              <w:rPr>
                <w:rFonts w:cs="Poppins Light"/>
                <w:szCs w:val="21"/>
              </w:rPr>
            </w:pPr>
            <w:r w:rsidRPr="00562552">
              <w:rPr>
                <w:rFonts w:cs="Poppins Light"/>
                <w:szCs w:val="21"/>
              </w:rPr>
              <w:t>Inclusion of AML/CFT monitoring and regulatory disclosure clauses.</w:t>
            </w:r>
          </w:p>
          <w:p w14:paraId="079A75A0" w14:textId="77777777" w:rsidR="00562552" w:rsidRPr="00562552" w:rsidRDefault="00562552" w:rsidP="00562552">
            <w:pPr>
              <w:spacing w:after="80"/>
              <w:jc w:val="both"/>
              <w:rPr>
                <w:rFonts w:cs="Poppins Light"/>
                <w:szCs w:val="21"/>
              </w:rPr>
            </w:pPr>
            <w:r w:rsidRPr="00562552">
              <w:rPr>
                <w:rFonts w:cs="Poppins Light"/>
                <w:szCs w:val="21"/>
              </w:rPr>
              <w:t>These changes reduce litigation exposure and regulatory compliance risk.</w:t>
            </w:r>
          </w:p>
          <w:p w14:paraId="64041808" w14:textId="0B6F8DC3" w:rsidR="00A906CB" w:rsidRPr="00C403D7" w:rsidRDefault="00A906CB" w:rsidP="00C403D7">
            <w:pPr>
              <w:spacing w:after="80"/>
              <w:jc w:val="both"/>
              <w:rPr>
                <w:rFonts w:cs="Poppins Light"/>
                <w:szCs w:val="21"/>
              </w:rPr>
            </w:pPr>
          </w:p>
        </w:tc>
      </w:tr>
      <w:tr w:rsidR="002F7BB5" w:rsidRPr="00BB7675" w14:paraId="3A1D69F8" w14:textId="77777777" w:rsidTr="00FB2232">
        <w:tc>
          <w:tcPr>
            <w:tcW w:w="2122" w:type="dxa"/>
            <w:vAlign w:val="center"/>
          </w:tcPr>
          <w:p w14:paraId="7E6C95D5" w14:textId="58E86386" w:rsidR="00DD4F1C" w:rsidRPr="00C403D7" w:rsidRDefault="002F7BB5" w:rsidP="00DD4F1C">
            <w:pPr>
              <w:spacing w:after="80"/>
              <w:rPr>
                <w:rFonts w:cs="Poppins Light"/>
                <w:szCs w:val="21"/>
              </w:rPr>
            </w:pPr>
            <w:r w:rsidRPr="00C403D7">
              <w:rPr>
                <w:rFonts w:cs="Poppins Light"/>
                <w:szCs w:val="21"/>
              </w:rPr>
              <w:t>Personal Guarantee</w:t>
            </w:r>
          </w:p>
        </w:tc>
        <w:tc>
          <w:tcPr>
            <w:tcW w:w="6894" w:type="dxa"/>
            <w:vAlign w:val="center"/>
          </w:tcPr>
          <w:p w14:paraId="26BCF55B" w14:textId="1C0383DD" w:rsidR="002F7BB5" w:rsidRPr="00C403D7" w:rsidRDefault="00F743F0" w:rsidP="00C403D7">
            <w:pPr>
              <w:spacing w:after="80"/>
              <w:jc w:val="both"/>
              <w:rPr>
                <w:rFonts w:cs="Poppins Light"/>
                <w:szCs w:val="21"/>
              </w:rPr>
            </w:pPr>
            <w:r w:rsidRPr="00F743F0">
              <w:rPr>
                <w:rFonts w:cs="Poppins Light"/>
                <w:szCs w:val="21"/>
              </w:rPr>
              <w:t>The Personal Guarantee template did not require material amendments. However, minor drafting refinements and technical comments were provided for the Bank’s consideration to enhance clarity, consistency with the revised facility documentation suite, and overall enforceability</w:t>
            </w:r>
            <w:r>
              <w:rPr>
                <w:rFonts w:cs="Poppins Light"/>
                <w:szCs w:val="21"/>
              </w:rPr>
              <w:t>.</w:t>
            </w:r>
          </w:p>
        </w:tc>
      </w:tr>
      <w:tr w:rsidR="002F7BB5" w:rsidRPr="00BB7675" w14:paraId="22630B29" w14:textId="77777777" w:rsidTr="00FB2232">
        <w:tc>
          <w:tcPr>
            <w:tcW w:w="2122" w:type="dxa"/>
            <w:vAlign w:val="center"/>
          </w:tcPr>
          <w:p w14:paraId="157714A1" w14:textId="6F2F2E93" w:rsidR="00DD4F1C" w:rsidRPr="00C403D7" w:rsidRDefault="002F7BB5" w:rsidP="00DD4F1C">
            <w:pPr>
              <w:spacing w:after="80"/>
              <w:rPr>
                <w:rFonts w:cs="Poppins Light"/>
                <w:szCs w:val="21"/>
              </w:rPr>
            </w:pPr>
            <w:r w:rsidRPr="00C403D7">
              <w:rPr>
                <w:rFonts w:cs="Poppins Light"/>
                <w:szCs w:val="21"/>
              </w:rPr>
              <w:t>General Indemnity</w:t>
            </w:r>
          </w:p>
        </w:tc>
        <w:tc>
          <w:tcPr>
            <w:tcW w:w="6894" w:type="dxa"/>
            <w:vAlign w:val="center"/>
          </w:tcPr>
          <w:p w14:paraId="145F2D8C" w14:textId="7ED9EDBA" w:rsidR="002F7BB5" w:rsidRPr="00C403D7" w:rsidRDefault="00320382" w:rsidP="00C403D7">
            <w:pPr>
              <w:spacing w:after="80"/>
              <w:jc w:val="both"/>
              <w:rPr>
                <w:rFonts w:cs="Poppins Light"/>
                <w:szCs w:val="21"/>
              </w:rPr>
            </w:pPr>
            <w:r w:rsidRPr="00320382">
              <w:rPr>
                <w:rFonts w:cs="Poppins Light"/>
                <w:szCs w:val="21"/>
              </w:rPr>
              <w:t>The General Indemnity documentation was reviewed and updated to ensure full alignment with the CBN Consumer Protection Regulations and the CBN Guide to Charges for Banks and Other Financial Institutions (OFIs). The revisions focused on regulatory compliance, transparency of obligations, and clarity in the scope of indemnified liabilities, thereby strengthening enforceability while maintaining fairness in contractual allocation of ris</w:t>
            </w:r>
            <w:r>
              <w:rPr>
                <w:rFonts w:cs="Poppins Light"/>
                <w:szCs w:val="21"/>
              </w:rPr>
              <w:t xml:space="preserve">k. </w:t>
            </w:r>
          </w:p>
        </w:tc>
      </w:tr>
      <w:tr w:rsidR="002F7BB5" w:rsidRPr="00BB7675" w14:paraId="362B313A" w14:textId="77777777" w:rsidTr="00FB2232">
        <w:tc>
          <w:tcPr>
            <w:tcW w:w="2122" w:type="dxa"/>
            <w:vAlign w:val="center"/>
          </w:tcPr>
          <w:p w14:paraId="38C03E78" w14:textId="77777777" w:rsidR="002F7BB5" w:rsidRPr="00C403D7" w:rsidRDefault="002F7BB5" w:rsidP="00DD4F1C">
            <w:pPr>
              <w:spacing w:after="80"/>
              <w:rPr>
                <w:rFonts w:cs="Poppins Light"/>
                <w:szCs w:val="21"/>
              </w:rPr>
            </w:pPr>
            <w:r w:rsidRPr="00C403D7">
              <w:rPr>
                <w:rFonts w:cs="Poppins Light"/>
                <w:szCs w:val="21"/>
              </w:rPr>
              <w:lastRenderedPageBreak/>
              <w:t>FX Trade Master Agreement</w:t>
            </w:r>
          </w:p>
          <w:p w14:paraId="3EE2512C" w14:textId="235604CA" w:rsidR="00DD4F1C" w:rsidRPr="00C403D7" w:rsidRDefault="00DD4F1C" w:rsidP="00DD4F1C">
            <w:pPr>
              <w:spacing w:after="80"/>
              <w:rPr>
                <w:rFonts w:cs="Poppins Light"/>
                <w:b/>
                <w:bCs/>
                <w:szCs w:val="21"/>
              </w:rPr>
            </w:pPr>
          </w:p>
        </w:tc>
        <w:tc>
          <w:tcPr>
            <w:tcW w:w="6894" w:type="dxa"/>
            <w:vAlign w:val="center"/>
          </w:tcPr>
          <w:p w14:paraId="0B50CF3E" w14:textId="7C39516C" w:rsidR="002F7BB5" w:rsidRPr="00C403D7" w:rsidRDefault="00793AEC" w:rsidP="00C403D7">
            <w:pPr>
              <w:spacing w:after="80"/>
              <w:jc w:val="both"/>
              <w:rPr>
                <w:rFonts w:cs="Poppins Light"/>
                <w:b/>
                <w:bCs/>
                <w:szCs w:val="21"/>
              </w:rPr>
            </w:pPr>
            <w:r w:rsidRPr="00793AEC">
              <w:rPr>
                <w:rFonts w:cs="Poppins Light"/>
                <w:szCs w:val="21"/>
              </w:rPr>
              <w:t>The FX Trade Master Agreement did not require substantive amendments. Minor drafting comments and technical refinements were provided to improve internal consistency, enhance clarity of obligations, and ensure continued alignment with applicable FX regulatory guidelines and market practice</w:t>
            </w:r>
            <w:r>
              <w:rPr>
                <w:rFonts w:cs="Poppins Light"/>
                <w:szCs w:val="21"/>
              </w:rPr>
              <w:t>.</w:t>
            </w:r>
          </w:p>
        </w:tc>
      </w:tr>
      <w:tr w:rsidR="002D0A83" w:rsidRPr="00BB7675" w14:paraId="4291E043" w14:textId="77777777" w:rsidTr="00FB2232">
        <w:tc>
          <w:tcPr>
            <w:tcW w:w="2122" w:type="dxa"/>
            <w:vAlign w:val="center"/>
          </w:tcPr>
          <w:p w14:paraId="7CDA5886" w14:textId="3EFF1E6B" w:rsidR="002D0A83" w:rsidRPr="002D0A83" w:rsidRDefault="002D0A83" w:rsidP="00DD4F1C">
            <w:pPr>
              <w:spacing w:after="80"/>
              <w:rPr>
                <w:rFonts w:cs="Poppins Light"/>
                <w:szCs w:val="21"/>
              </w:rPr>
            </w:pPr>
            <w:r>
              <w:rPr>
                <w:rFonts w:cs="Poppins Light"/>
                <w:szCs w:val="21"/>
              </w:rPr>
              <w:t>Letter of Consent to register a deed of tripartite legal mortgage</w:t>
            </w:r>
          </w:p>
        </w:tc>
        <w:tc>
          <w:tcPr>
            <w:tcW w:w="6894" w:type="dxa"/>
            <w:vAlign w:val="center"/>
          </w:tcPr>
          <w:p w14:paraId="2ADE7094" w14:textId="77777777" w:rsidR="003D555B" w:rsidRPr="003D555B" w:rsidRDefault="003D555B" w:rsidP="003D555B">
            <w:pPr>
              <w:spacing w:after="80"/>
              <w:jc w:val="both"/>
              <w:rPr>
                <w:rFonts w:cs="Poppins Light"/>
                <w:szCs w:val="21"/>
              </w:rPr>
            </w:pPr>
            <w:r w:rsidRPr="003D555B">
              <w:rPr>
                <w:rFonts w:cs="Poppins Light"/>
                <w:szCs w:val="21"/>
              </w:rPr>
              <w:t>The Letter of Consent was revised to incorporate enhanced indemnity provisions designed to safeguard the Bank against any claims, liabilities, losses, or expenses arising in connection with the registration of the tripartite legal mortgage.</w:t>
            </w:r>
          </w:p>
          <w:p w14:paraId="5F83138D" w14:textId="198513F4" w:rsidR="002D0A83" w:rsidRPr="00145664" w:rsidRDefault="003D555B" w:rsidP="00C403D7">
            <w:pPr>
              <w:spacing w:after="80"/>
              <w:jc w:val="both"/>
              <w:rPr>
                <w:rFonts w:cs="Poppins Light"/>
                <w:szCs w:val="21"/>
              </w:rPr>
            </w:pPr>
            <w:r w:rsidRPr="003D555B">
              <w:rPr>
                <w:rFonts w:cs="Poppins Light"/>
                <w:szCs w:val="21"/>
              </w:rPr>
              <w:t>These amendments strengthen the Bank’s risk protection framework by ensuring that any registration</w:t>
            </w:r>
            <w:r>
              <w:rPr>
                <w:rFonts w:cs="Poppins Light"/>
                <w:szCs w:val="21"/>
              </w:rPr>
              <w:t xml:space="preserve"> </w:t>
            </w:r>
            <w:r w:rsidRPr="003D555B">
              <w:rPr>
                <w:rFonts w:cs="Poppins Light"/>
                <w:szCs w:val="21"/>
              </w:rPr>
              <w:t>related exposure</w:t>
            </w:r>
            <w:r>
              <w:rPr>
                <w:rFonts w:cs="Poppins Light"/>
                <w:szCs w:val="21"/>
              </w:rPr>
              <w:t xml:space="preserve"> w</w:t>
            </w:r>
            <w:r w:rsidRPr="003D555B">
              <w:rPr>
                <w:rFonts w:cs="Poppins Light"/>
                <w:szCs w:val="21"/>
              </w:rPr>
              <w:t>hether procedural, third-party, or title-related</w:t>
            </w:r>
            <w:r w:rsidR="005761D4">
              <w:rPr>
                <w:rFonts w:cs="Poppins Light"/>
                <w:szCs w:val="21"/>
              </w:rPr>
              <w:t xml:space="preserve"> </w:t>
            </w:r>
            <w:r w:rsidRPr="003D555B">
              <w:rPr>
                <w:rFonts w:cs="Poppins Light"/>
                <w:szCs w:val="21"/>
              </w:rPr>
              <w:t>is contractually mitigated through clear indemnification obligations</w:t>
            </w:r>
            <w:r w:rsidR="005761D4">
              <w:rPr>
                <w:rFonts w:cs="Poppins Light"/>
                <w:szCs w:val="21"/>
              </w:rPr>
              <w:t>.</w:t>
            </w:r>
          </w:p>
        </w:tc>
      </w:tr>
      <w:tr w:rsidR="003B6553" w:rsidRPr="00BB7675" w14:paraId="7A7A1059" w14:textId="77777777" w:rsidTr="00FB2232">
        <w:tc>
          <w:tcPr>
            <w:tcW w:w="2122" w:type="dxa"/>
            <w:vAlign w:val="center"/>
          </w:tcPr>
          <w:p w14:paraId="5BEFA88D" w14:textId="22FAC74C" w:rsidR="003B6553" w:rsidRPr="00A444DF" w:rsidRDefault="00A444DF" w:rsidP="00DD4F1C">
            <w:pPr>
              <w:spacing w:after="80"/>
              <w:rPr>
                <w:rFonts w:cs="Poppins Light"/>
                <w:szCs w:val="21"/>
              </w:rPr>
            </w:pPr>
            <w:r>
              <w:rPr>
                <w:rFonts w:cs="Poppins Light"/>
                <w:szCs w:val="21"/>
              </w:rPr>
              <w:t>Letter of Hypothecation</w:t>
            </w:r>
          </w:p>
        </w:tc>
        <w:tc>
          <w:tcPr>
            <w:tcW w:w="6894" w:type="dxa"/>
            <w:vAlign w:val="center"/>
          </w:tcPr>
          <w:p w14:paraId="14221486" w14:textId="31933618" w:rsidR="003B6553" w:rsidRPr="00145664" w:rsidRDefault="000F5C6F" w:rsidP="00C403D7">
            <w:pPr>
              <w:spacing w:after="80"/>
              <w:jc w:val="both"/>
              <w:rPr>
                <w:rFonts w:cs="Poppins Light"/>
                <w:szCs w:val="21"/>
              </w:rPr>
            </w:pPr>
            <w:r w:rsidRPr="000F5C6F">
              <w:rPr>
                <w:rFonts w:cs="Poppins Light"/>
                <w:szCs w:val="21"/>
              </w:rPr>
              <w:t>The Letter of Hypothecation was reviewed and refined to align with prevailing market standards and to ensure consistency with the CBN Consumer Protection Regulations. The revisions focused on clarifying the scope of the secured obligations, strengthening enforcement language, and ensuring that the rights and remedies of the Bank are clearly articulated while maintaining regulatory fairness and transparency.</w:t>
            </w:r>
          </w:p>
        </w:tc>
      </w:tr>
      <w:tr w:rsidR="00D57D0B" w:rsidRPr="00BB7675" w14:paraId="39C07A65" w14:textId="77777777" w:rsidTr="00FB2232">
        <w:tc>
          <w:tcPr>
            <w:tcW w:w="2122" w:type="dxa"/>
            <w:vAlign w:val="center"/>
          </w:tcPr>
          <w:p w14:paraId="55B442EA" w14:textId="488C0B02" w:rsidR="00D57D0B" w:rsidRDefault="00D57D0B" w:rsidP="00DD4F1C">
            <w:pPr>
              <w:spacing w:after="80"/>
              <w:rPr>
                <w:rFonts w:cs="Poppins Light"/>
                <w:szCs w:val="21"/>
              </w:rPr>
            </w:pPr>
            <w:r>
              <w:rPr>
                <w:rFonts w:cs="Poppins Light"/>
                <w:szCs w:val="21"/>
              </w:rPr>
              <w:t xml:space="preserve">Irrevocable Undertaking </w:t>
            </w:r>
            <w:r w:rsidR="000F7866">
              <w:rPr>
                <w:rFonts w:cs="Poppins Light"/>
                <w:szCs w:val="21"/>
              </w:rPr>
              <w:t>for</w:t>
            </w:r>
            <w:r>
              <w:rPr>
                <w:rFonts w:cs="Poppins Light"/>
                <w:szCs w:val="21"/>
              </w:rPr>
              <w:t xml:space="preserve"> Domiciliation of Sales Proceeds</w:t>
            </w:r>
          </w:p>
        </w:tc>
        <w:tc>
          <w:tcPr>
            <w:tcW w:w="6894" w:type="dxa"/>
            <w:vAlign w:val="center"/>
          </w:tcPr>
          <w:p w14:paraId="0E3AB169" w14:textId="77777777" w:rsidR="002C78C0" w:rsidRPr="002C78C0" w:rsidRDefault="002C78C0" w:rsidP="002C78C0">
            <w:pPr>
              <w:spacing w:after="80"/>
              <w:jc w:val="both"/>
              <w:rPr>
                <w:rFonts w:cs="Poppins Light"/>
                <w:szCs w:val="21"/>
              </w:rPr>
            </w:pPr>
            <w:r w:rsidRPr="002C78C0">
              <w:rPr>
                <w:rFonts w:cs="Poppins Light"/>
                <w:szCs w:val="21"/>
              </w:rPr>
              <w:t xml:space="preserve">The Irrevocable Undertaking for Domiciliation of Sales Proceeds was revised to align with international best practices and to strengthen enforceability. In particular, new clarificatory provisions were introduced in light of the Court of Appeal’s decision in </w:t>
            </w:r>
            <w:r w:rsidRPr="002C78C0">
              <w:rPr>
                <w:rFonts w:cs="Poppins Light"/>
                <w:i/>
                <w:iCs/>
                <w:szCs w:val="21"/>
              </w:rPr>
              <w:t>UBA Plc v. Midas Samdra Nig. Ltd (2020) LPELR-51254 (CA)</w:t>
            </w:r>
            <w:r w:rsidRPr="002C78C0">
              <w:rPr>
                <w:rFonts w:cs="Poppins Light"/>
                <w:szCs w:val="21"/>
              </w:rPr>
              <w:t>, wherein the Court affirmed that the domiciliation of proceeds constitutes merely a repayment mechanism and does not relieve the borrower of its primary obligation to repay the facility as and when due.</w:t>
            </w:r>
          </w:p>
          <w:p w14:paraId="7F7800B7" w14:textId="76AAD6FE" w:rsidR="00D57D0B" w:rsidRDefault="002C78C0" w:rsidP="00C403D7">
            <w:pPr>
              <w:spacing w:after="80"/>
              <w:jc w:val="both"/>
              <w:rPr>
                <w:rFonts w:cs="Poppins Light"/>
                <w:szCs w:val="21"/>
              </w:rPr>
            </w:pPr>
            <w:r w:rsidRPr="002C78C0">
              <w:rPr>
                <w:rFonts w:cs="Poppins Light"/>
                <w:szCs w:val="21"/>
              </w:rPr>
              <w:t>The revised template therefore expressly reinforces the borrower’s continuing repayment obligation and mitigates the risk of any argument that domiciliation arrangements extinguish or dilute underlying repayment liabilities</w:t>
            </w:r>
            <w:r w:rsidR="005761D4">
              <w:rPr>
                <w:rFonts w:cs="Poppins Light"/>
                <w:szCs w:val="21"/>
              </w:rPr>
              <w:t xml:space="preserve">. </w:t>
            </w:r>
          </w:p>
        </w:tc>
      </w:tr>
      <w:tr w:rsidR="002B5BB1" w:rsidRPr="00BB7675" w14:paraId="066D22D4" w14:textId="77777777" w:rsidTr="00FB2232">
        <w:tc>
          <w:tcPr>
            <w:tcW w:w="2122" w:type="dxa"/>
            <w:vAlign w:val="center"/>
          </w:tcPr>
          <w:p w14:paraId="067A2525" w14:textId="5B77A102" w:rsidR="002B5BB1" w:rsidRDefault="002B5BB1" w:rsidP="00DD4F1C">
            <w:pPr>
              <w:spacing w:after="80"/>
              <w:rPr>
                <w:rFonts w:cs="Poppins Light"/>
                <w:szCs w:val="21"/>
              </w:rPr>
            </w:pPr>
            <w:r>
              <w:rPr>
                <w:rFonts w:cs="Poppins Light"/>
                <w:szCs w:val="21"/>
              </w:rPr>
              <w:t>Letter</w:t>
            </w:r>
            <w:r w:rsidR="001054FC">
              <w:rPr>
                <w:rFonts w:cs="Poppins Light"/>
                <w:szCs w:val="21"/>
              </w:rPr>
              <w:t xml:space="preserve"> of Domiciliation of Contract</w:t>
            </w:r>
          </w:p>
        </w:tc>
        <w:tc>
          <w:tcPr>
            <w:tcW w:w="6894" w:type="dxa"/>
            <w:vAlign w:val="center"/>
          </w:tcPr>
          <w:p w14:paraId="0BB9FF86" w14:textId="77777777" w:rsidR="002B5BB1" w:rsidRDefault="003E6E56">
            <w:pPr>
              <w:spacing w:after="80"/>
              <w:jc w:val="both"/>
              <w:rPr>
                <w:rFonts w:cs="Poppins Light"/>
                <w:i/>
                <w:iCs/>
                <w:szCs w:val="21"/>
              </w:rPr>
            </w:pPr>
            <w:r>
              <w:rPr>
                <w:rFonts w:cs="Poppins Light"/>
                <w:szCs w:val="21"/>
              </w:rPr>
              <w:t xml:space="preserve">We </w:t>
            </w:r>
            <w:r w:rsidR="00AF0134">
              <w:rPr>
                <w:rFonts w:cs="Poppins Light"/>
                <w:szCs w:val="21"/>
              </w:rPr>
              <w:t xml:space="preserve">revised the letter </w:t>
            </w:r>
            <w:r w:rsidR="00E259F7">
              <w:rPr>
                <w:rFonts w:cs="Poppins Light"/>
                <w:szCs w:val="21"/>
              </w:rPr>
              <w:t xml:space="preserve">to </w:t>
            </w:r>
            <w:r w:rsidR="00441BCA">
              <w:rPr>
                <w:rFonts w:cs="Poppins Light"/>
                <w:szCs w:val="21"/>
              </w:rPr>
              <w:t xml:space="preserve">reflect the position of </w:t>
            </w:r>
            <w:r w:rsidR="00843B57">
              <w:rPr>
                <w:rFonts w:cs="Poppins Light"/>
                <w:szCs w:val="21"/>
              </w:rPr>
              <w:t xml:space="preserve">the Court of Appeal in </w:t>
            </w:r>
            <w:r w:rsidR="00843B57" w:rsidRPr="00C403D7">
              <w:rPr>
                <w:rFonts w:cs="Poppins Light"/>
                <w:i/>
                <w:iCs/>
                <w:szCs w:val="21"/>
              </w:rPr>
              <w:t>UBA Plc v Midas Samdra Nig</w:t>
            </w:r>
            <w:r w:rsidR="00EB4B8B" w:rsidRPr="00C403D7">
              <w:rPr>
                <w:rFonts w:cs="Poppins Light"/>
                <w:i/>
                <w:iCs/>
                <w:szCs w:val="21"/>
              </w:rPr>
              <w:t>. Ltd (2020) LPELR-51254 (CA</w:t>
            </w:r>
            <w:r w:rsidR="00EB4B8B">
              <w:rPr>
                <w:rFonts w:cs="Poppins Light"/>
                <w:szCs w:val="21"/>
              </w:rPr>
              <w:t xml:space="preserve">) </w:t>
            </w:r>
            <w:r w:rsidR="007A2596">
              <w:rPr>
                <w:rFonts w:cs="Poppins Light"/>
                <w:szCs w:val="21"/>
              </w:rPr>
              <w:t xml:space="preserve">wherein the </w:t>
            </w:r>
            <w:r w:rsidR="00696527">
              <w:rPr>
                <w:rFonts w:cs="Poppins Light"/>
                <w:szCs w:val="21"/>
              </w:rPr>
              <w:t>C</w:t>
            </w:r>
            <w:r w:rsidR="007A2596">
              <w:rPr>
                <w:rFonts w:cs="Poppins Light"/>
                <w:szCs w:val="21"/>
              </w:rPr>
              <w:t>ourt</w:t>
            </w:r>
            <w:r w:rsidR="00696527">
              <w:rPr>
                <w:rFonts w:cs="Poppins Light"/>
                <w:szCs w:val="21"/>
              </w:rPr>
              <w:t xml:space="preserve"> of Appeal</w:t>
            </w:r>
            <w:r w:rsidR="007A2596">
              <w:rPr>
                <w:rFonts w:cs="Poppins Light"/>
                <w:szCs w:val="21"/>
              </w:rPr>
              <w:t xml:space="preserve"> </w:t>
            </w:r>
            <w:r w:rsidR="007B5670">
              <w:rPr>
                <w:rFonts w:cs="Poppins Light"/>
                <w:szCs w:val="21"/>
              </w:rPr>
              <w:t>emphasized th</w:t>
            </w:r>
            <w:r w:rsidR="00696527">
              <w:rPr>
                <w:rFonts w:cs="Poppins Light"/>
                <w:szCs w:val="21"/>
              </w:rPr>
              <w:t>e</w:t>
            </w:r>
            <w:r w:rsidR="007B5670">
              <w:rPr>
                <w:rFonts w:cs="Poppins Light"/>
                <w:szCs w:val="21"/>
              </w:rPr>
              <w:t xml:space="preserve"> </w:t>
            </w:r>
            <w:r w:rsidR="009C34FE">
              <w:rPr>
                <w:rFonts w:cs="Poppins Light"/>
                <w:szCs w:val="21"/>
              </w:rPr>
              <w:t>nature of</w:t>
            </w:r>
            <w:r w:rsidR="007B5670">
              <w:rPr>
                <w:rFonts w:cs="Poppins Light"/>
                <w:szCs w:val="21"/>
              </w:rPr>
              <w:t xml:space="preserve"> domiciliation of payment agreement</w:t>
            </w:r>
            <w:r w:rsidR="00204502">
              <w:rPr>
                <w:rFonts w:cs="Poppins Light"/>
                <w:szCs w:val="21"/>
              </w:rPr>
              <w:t>. The Cou</w:t>
            </w:r>
            <w:r w:rsidR="00696527">
              <w:rPr>
                <w:rFonts w:cs="Poppins Light"/>
                <w:szCs w:val="21"/>
              </w:rPr>
              <w:t>rt</w:t>
            </w:r>
            <w:r w:rsidR="004315D3">
              <w:rPr>
                <w:rFonts w:cs="Poppins Light"/>
                <w:szCs w:val="21"/>
              </w:rPr>
              <w:t xml:space="preserve"> of Appeal </w:t>
            </w:r>
            <w:r w:rsidR="007B5670">
              <w:rPr>
                <w:rFonts w:cs="Poppins Light"/>
                <w:szCs w:val="21"/>
              </w:rPr>
              <w:t xml:space="preserve"> </w:t>
            </w:r>
            <w:r w:rsidR="00566C2A">
              <w:rPr>
                <w:rFonts w:cs="Poppins Light"/>
                <w:szCs w:val="21"/>
              </w:rPr>
              <w:t xml:space="preserve">stated that </w:t>
            </w:r>
            <w:r w:rsidR="00775A08" w:rsidRPr="00775A08">
              <w:rPr>
                <w:rFonts w:cs="Poppins Light"/>
                <w:szCs w:val="21"/>
              </w:rPr>
              <w:t>domiciliation of payment agreement merely provides a repayment mechani</w:t>
            </w:r>
            <w:r w:rsidR="00CC359F">
              <w:rPr>
                <w:rFonts w:cs="Poppins Light"/>
                <w:szCs w:val="21"/>
              </w:rPr>
              <w:t xml:space="preserve">sm </w:t>
            </w:r>
            <w:r w:rsidR="00495E74">
              <w:rPr>
                <w:rFonts w:cs="Poppins Light"/>
                <w:szCs w:val="21"/>
              </w:rPr>
              <w:t>by which</w:t>
            </w:r>
            <w:r w:rsidR="00AE3288">
              <w:rPr>
                <w:rFonts w:cs="Poppins Light"/>
                <w:szCs w:val="21"/>
              </w:rPr>
              <w:t xml:space="preserve"> payments</w:t>
            </w:r>
            <w:r w:rsidR="002A2A95">
              <w:rPr>
                <w:rFonts w:cs="Poppins Light"/>
                <w:szCs w:val="21"/>
              </w:rPr>
              <w:t xml:space="preserve"> due to a borrower from a third party are channelled through the bank. </w:t>
            </w:r>
            <w:r w:rsidR="00F55B89" w:rsidRPr="00F55B89">
              <w:rPr>
                <w:rFonts w:cs="Poppins Light"/>
                <w:szCs w:val="21"/>
              </w:rPr>
              <w:t xml:space="preserve">Such an arrangement does not relieve the borrower of the primary obligation to repay the loan as and when due, nor does it create </w:t>
            </w:r>
            <w:r w:rsidR="00F55B89" w:rsidRPr="00F55B89">
              <w:rPr>
                <w:rFonts w:cs="Poppins Light"/>
                <w:szCs w:val="21"/>
              </w:rPr>
              <w:lastRenderedPageBreak/>
              <w:t xml:space="preserve">privity of contract between the bank and the third party, such that the bank may enforce the loan against the third party in the event of default. </w:t>
            </w:r>
            <w:r w:rsidR="00BF6778">
              <w:rPr>
                <w:rFonts w:cs="Poppins Light"/>
                <w:szCs w:val="21"/>
              </w:rPr>
              <w:t xml:space="preserve">This position was also </w:t>
            </w:r>
            <w:r w:rsidR="00165E9F">
              <w:rPr>
                <w:rFonts w:cs="Poppins Light"/>
                <w:szCs w:val="21"/>
              </w:rPr>
              <w:t xml:space="preserve">affirmed by the Court of Appeal in </w:t>
            </w:r>
            <w:r w:rsidR="00F55B89" w:rsidRPr="00C403D7">
              <w:rPr>
                <w:rFonts w:cs="Poppins Light"/>
                <w:i/>
                <w:iCs/>
                <w:szCs w:val="21"/>
              </w:rPr>
              <w:t>Everly United Associates Ltd. &amp; Anor v FBN LTD. (2025) LPELR- 81736 (CA)</w:t>
            </w:r>
            <w:r w:rsidR="00165E9F">
              <w:rPr>
                <w:rFonts w:cs="Poppins Light"/>
                <w:i/>
                <w:iCs/>
                <w:szCs w:val="21"/>
              </w:rPr>
              <w:t xml:space="preserve">. </w:t>
            </w:r>
          </w:p>
          <w:p w14:paraId="16EFBE88" w14:textId="40850497" w:rsidR="008D580D" w:rsidRPr="008D580D" w:rsidRDefault="008D580D">
            <w:pPr>
              <w:spacing w:after="80"/>
              <w:jc w:val="both"/>
              <w:rPr>
                <w:rFonts w:cs="Poppins Light"/>
                <w:szCs w:val="21"/>
              </w:rPr>
            </w:pPr>
            <w:r>
              <w:rPr>
                <w:rFonts w:cs="Poppins Light"/>
                <w:szCs w:val="21"/>
              </w:rPr>
              <w:t xml:space="preserve">Additionally, we </w:t>
            </w:r>
            <w:r w:rsidR="003F774E">
              <w:rPr>
                <w:rFonts w:cs="Poppins Light"/>
                <w:szCs w:val="21"/>
              </w:rPr>
              <w:t xml:space="preserve">included the </w:t>
            </w:r>
            <w:r w:rsidR="00FC0481">
              <w:rPr>
                <w:rFonts w:cs="Poppins Light"/>
                <w:szCs w:val="21"/>
              </w:rPr>
              <w:t xml:space="preserve">right of the Bank </w:t>
            </w:r>
            <w:r w:rsidR="00995E05">
              <w:rPr>
                <w:rFonts w:cs="Poppins Light"/>
                <w:szCs w:val="21"/>
              </w:rPr>
              <w:t xml:space="preserve">to make disclosures to regulatory or enforcement authorities </w:t>
            </w:r>
            <w:r w:rsidR="006A16ED">
              <w:rPr>
                <w:rFonts w:cs="Poppins Light"/>
                <w:szCs w:val="21"/>
              </w:rPr>
              <w:t xml:space="preserve">in keeping with the provisions of the </w:t>
            </w:r>
            <w:r w:rsidR="008B75ED">
              <w:rPr>
                <w:rFonts w:cs="Poppins Light"/>
                <w:szCs w:val="21"/>
              </w:rPr>
              <w:t xml:space="preserve">CBN AML/CFT Regulation. </w:t>
            </w:r>
            <w:r w:rsidR="00807FB5">
              <w:rPr>
                <w:rFonts w:cs="Poppins Light"/>
                <w:szCs w:val="21"/>
              </w:rPr>
              <w:t xml:space="preserve"> </w:t>
            </w:r>
          </w:p>
        </w:tc>
      </w:tr>
      <w:tr w:rsidR="00261E91" w:rsidRPr="00BB7675" w14:paraId="6D8EFA1A" w14:textId="77777777" w:rsidTr="00FB2232">
        <w:tc>
          <w:tcPr>
            <w:tcW w:w="2122" w:type="dxa"/>
            <w:vAlign w:val="center"/>
          </w:tcPr>
          <w:p w14:paraId="4631694A" w14:textId="1EB21DA4" w:rsidR="00261E91" w:rsidRDefault="00261E91" w:rsidP="00DD4F1C">
            <w:pPr>
              <w:spacing w:after="80"/>
              <w:rPr>
                <w:rFonts w:cs="Poppins Light"/>
                <w:szCs w:val="21"/>
              </w:rPr>
            </w:pPr>
            <w:r>
              <w:rPr>
                <w:rFonts w:cs="Poppins Light"/>
                <w:szCs w:val="21"/>
              </w:rPr>
              <w:lastRenderedPageBreak/>
              <w:t>Bid Bon</w:t>
            </w:r>
            <w:r w:rsidR="00165E9F">
              <w:rPr>
                <w:rFonts w:cs="Poppins Light"/>
                <w:szCs w:val="21"/>
              </w:rPr>
              <w:t>d</w:t>
            </w:r>
          </w:p>
        </w:tc>
        <w:tc>
          <w:tcPr>
            <w:tcW w:w="6894" w:type="dxa"/>
            <w:vAlign w:val="center"/>
          </w:tcPr>
          <w:p w14:paraId="72D01C32" w14:textId="77777777" w:rsidR="00FB6937" w:rsidRPr="00FB6937" w:rsidRDefault="00FB6937" w:rsidP="00FB6937">
            <w:pPr>
              <w:spacing w:after="80"/>
              <w:jc w:val="both"/>
              <w:rPr>
                <w:rFonts w:cs="Poppins Light"/>
                <w:szCs w:val="21"/>
              </w:rPr>
            </w:pPr>
            <w:r w:rsidRPr="00FB6937">
              <w:rPr>
                <w:rFonts w:cs="Poppins Light"/>
                <w:szCs w:val="21"/>
              </w:rPr>
              <w:t>The Bid Bond template was revised to align with international best practices and prevailing market standards applicable to demand guarantees and performance-related instruments. The revisions enhance clarity around the Bank’s obligations, trigger events, and claim procedures.</w:t>
            </w:r>
          </w:p>
          <w:p w14:paraId="70A10D7A" w14:textId="033EF278" w:rsidR="00261E91" w:rsidRDefault="00FB6937">
            <w:pPr>
              <w:spacing w:after="80"/>
              <w:jc w:val="both"/>
              <w:rPr>
                <w:rFonts w:cs="Poppins Light"/>
                <w:szCs w:val="21"/>
              </w:rPr>
            </w:pPr>
            <w:r w:rsidRPr="00FB6937">
              <w:rPr>
                <w:rFonts w:cs="Poppins Light"/>
                <w:szCs w:val="21"/>
              </w:rPr>
              <w:t>In addition, specific provisions were introduced to restrict the transfer or assignment of the Bond by any party other than the named beneficiary, thereby preserving the integrity of the instrument and mitigating the risk of unintended third-party enforcement exposure</w:t>
            </w:r>
            <w:r>
              <w:rPr>
                <w:rFonts w:cs="Poppins Light"/>
                <w:szCs w:val="21"/>
              </w:rPr>
              <w:t xml:space="preserve">. </w:t>
            </w:r>
          </w:p>
        </w:tc>
      </w:tr>
      <w:tr w:rsidR="002F7BB5" w:rsidRPr="00BB7675" w14:paraId="18FD7C3A" w14:textId="77777777" w:rsidTr="00FB2232">
        <w:tc>
          <w:tcPr>
            <w:tcW w:w="2122" w:type="dxa"/>
            <w:vAlign w:val="center"/>
          </w:tcPr>
          <w:p w14:paraId="40794EF0" w14:textId="73CC6DB6" w:rsidR="00DD4F1C" w:rsidRPr="00C403D7" w:rsidRDefault="002F7BB5" w:rsidP="00DD4F1C">
            <w:pPr>
              <w:spacing w:after="80"/>
              <w:rPr>
                <w:rFonts w:cs="Poppins Light"/>
                <w:szCs w:val="21"/>
              </w:rPr>
            </w:pPr>
            <w:r w:rsidRPr="00C403D7">
              <w:rPr>
                <w:rFonts w:cs="Poppins Light"/>
                <w:szCs w:val="21"/>
              </w:rPr>
              <w:t>Offer Letters</w:t>
            </w:r>
          </w:p>
        </w:tc>
        <w:tc>
          <w:tcPr>
            <w:tcW w:w="6894" w:type="dxa"/>
            <w:vAlign w:val="center"/>
          </w:tcPr>
          <w:p w14:paraId="5D1EB778" w14:textId="77777777" w:rsidR="008B72EA" w:rsidRPr="008B72EA" w:rsidRDefault="008B72EA" w:rsidP="008B72EA">
            <w:pPr>
              <w:spacing w:after="80"/>
              <w:jc w:val="both"/>
              <w:rPr>
                <w:rFonts w:cs="Poppins Light"/>
                <w:szCs w:val="21"/>
              </w:rPr>
            </w:pPr>
            <w:r w:rsidRPr="008B72EA">
              <w:rPr>
                <w:rFonts w:cs="Poppins Light"/>
                <w:szCs w:val="21"/>
              </w:rPr>
              <w:t>A key amendment implemented across the Offer Letter templates was a comprehensive review for compliance with the CBN Consumer Protection Regulations, 2019. During our review, we identified certain provisions that could be construed as onerous, particularly clauses permitting the Bank to unilaterally vary contractual terms without prior notice to the customer. Such provisions present potential regulatory and litigation risks. These clauses have been revised to ensure fairness, transparency, and regulatory alignment.</w:t>
            </w:r>
          </w:p>
          <w:p w14:paraId="7E7157C6" w14:textId="77777777" w:rsidR="008B72EA" w:rsidRPr="008B72EA" w:rsidRDefault="008B72EA" w:rsidP="008B72EA">
            <w:pPr>
              <w:spacing w:after="80"/>
              <w:jc w:val="both"/>
              <w:rPr>
                <w:rFonts w:cs="Poppins Light"/>
                <w:szCs w:val="21"/>
              </w:rPr>
            </w:pPr>
            <w:r w:rsidRPr="008B72EA">
              <w:rPr>
                <w:rFonts w:cs="Poppins Light"/>
                <w:szCs w:val="21"/>
              </w:rPr>
              <w:t>While the Bank’s existing templates demonstrate substantial compliance with the CBN Guide to Charges for Banks and Other Financial Institutions (OFIs), we have made targeted refinements and provided drafting comments to further strengthen full alignment with the applicable regulatory framework.</w:t>
            </w:r>
          </w:p>
          <w:p w14:paraId="5D413752" w14:textId="10CDDAFA" w:rsidR="008B72EA" w:rsidRPr="008B72EA" w:rsidRDefault="008B72EA" w:rsidP="008B72EA">
            <w:pPr>
              <w:spacing w:after="80"/>
              <w:jc w:val="both"/>
              <w:rPr>
                <w:rFonts w:cs="Poppins Light"/>
                <w:szCs w:val="21"/>
              </w:rPr>
            </w:pPr>
            <w:r w:rsidRPr="008B72EA">
              <w:rPr>
                <w:rFonts w:cs="Poppins Light"/>
                <w:szCs w:val="21"/>
              </w:rPr>
              <w:t xml:space="preserve">In addition, </w:t>
            </w:r>
            <w:proofErr w:type="gramStart"/>
            <w:r w:rsidRPr="008B72EA">
              <w:rPr>
                <w:rFonts w:cs="Poppins Light"/>
                <w:szCs w:val="21"/>
              </w:rPr>
              <w:t>in light of</w:t>
            </w:r>
            <w:proofErr w:type="gramEnd"/>
            <w:r w:rsidRPr="008B72EA">
              <w:rPr>
                <w:rFonts w:cs="Poppins Light"/>
                <w:szCs w:val="21"/>
              </w:rPr>
              <w:t xml:space="preserve"> the recent innovations introduced under the Nigeria Tax Act, 2025, the Offer Letters have been updated to reflect the Nigeria Revenue Service (NRS) as the relevant authority for the administration and collection of stamp duties, thereby ensuring statutory accuracy and forward-looking compliance</w:t>
            </w:r>
            <w:r w:rsidR="00B22CCB">
              <w:rPr>
                <w:rFonts w:cs="Poppins Light"/>
                <w:szCs w:val="21"/>
              </w:rPr>
              <w:t>.</w:t>
            </w:r>
          </w:p>
          <w:p w14:paraId="08D61C04" w14:textId="5AD94DBE" w:rsidR="00285F85" w:rsidRPr="00C403D7" w:rsidRDefault="00285F85" w:rsidP="00C403D7">
            <w:pPr>
              <w:spacing w:after="80"/>
              <w:jc w:val="both"/>
              <w:rPr>
                <w:rFonts w:cs="Poppins Light"/>
                <w:b/>
                <w:bCs/>
                <w:szCs w:val="21"/>
              </w:rPr>
            </w:pPr>
          </w:p>
        </w:tc>
      </w:tr>
    </w:tbl>
    <w:p w14:paraId="423E35A1" w14:textId="77777777" w:rsidR="002B3288" w:rsidRDefault="002B3288" w:rsidP="00943F1D">
      <w:pPr>
        <w:jc w:val="both"/>
        <w:rPr>
          <w:rFonts w:cs="Poppins Light"/>
          <w:b/>
          <w:bCs/>
          <w:szCs w:val="21"/>
        </w:rPr>
      </w:pPr>
    </w:p>
    <w:p w14:paraId="6A21C9A7" w14:textId="77777777" w:rsidR="005F4720" w:rsidRPr="00C403D7" w:rsidRDefault="005F4720" w:rsidP="00943F1D">
      <w:pPr>
        <w:jc w:val="both"/>
        <w:rPr>
          <w:rFonts w:cs="Poppins Light"/>
          <w:b/>
          <w:bCs/>
          <w:szCs w:val="21"/>
        </w:rPr>
      </w:pPr>
    </w:p>
    <w:p w14:paraId="00608B3E" w14:textId="4896B99F" w:rsidR="00A94EC1" w:rsidRPr="005F4720" w:rsidRDefault="005F4720" w:rsidP="005F4720">
      <w:pPr>
        <w:jc w:val="both"/>
        <w:rPr>
          <w:rFonts w:cs="Poppins Light"/>
          <w:b/>
          <w:bCs/>
          <w:szCs w:val="21"/>
        </w:rPr>
      </w:pPr>
      <w:r>
        <w:rPr>
          <w:rFonts w:cs="Poppins Light"/>
          <w:b/>
          <w:bCs/>
          <w:szCs w:val="21"/>
        </w:rPr>
        <w:lastRenderedPageBreak/>
        <w:t>4.</w:t>
      </w:r>
      <w:r>
        <w:rPr>
          <w:rFonts w:cs="Poppins Light"/>
          <w:b/>
          <w:bCs/>
          <w:szCs w:val="21"/>
        </w:rPr>
        <w:tab/>
      </w:r>
      <w:r w:rsidR="00A94EC1" w:rsidRPr="005F4720">
        <w:rPr>
          <w:rFonts w:cs="Poppins Light"/>
          <w:b/>
          <w:bCs/>
          <w:szCs w:val="21"/>
        </w:rPr>
        <w:t>ANALYSIS</w:t>
      </w:r>
    </w:p>
    <w:p w14:paraId="7BEE08E5" w14:textId="76238404" w:rsidR="00A94EC1" w:rsidRPr="00C403D7" w:rsidRDefault="00A94EC1" w:rsidP="00943F1D">
      <w:pPr>
        <w:jc w:val="both"/>
        <w:rPr>
          <w:rFonts w:cs="Poppins Light"/>
          <w:szCs w:val="21"/>
        </w:rPr>
      </w:pPr>
      <w:r w:rsidRPr="00C403D7">
        <w:rPr>
          <w:rFonts w:cs="Poppins Light"/>
          <w:szCs w:val="21"/>
        </w:rPr>
        <w:t>The amendments were necessitated by evolving regulatory directives, changes in jurisprudence regarding banker</w:t>
      </w:r>
      <w:r w:rsidRPr="00C403D7">
        <w:rPr>
          <w:rFonts w:cs="Poppins Light"/>
          <w:szCs w:val="21"/>
        </w:rPr>
        <w:noBreakHyphen/>
        <w:t>customer contracts, the Bank’s post</w:t>
      </w:r>
      <w:r w:rsidRPr="00C403D7">
        <w:rPr>
          <w:rFonts w:cs="Poppins Light"/>
          <w:szCs w:val="21"/>
        </w:rPr>
        <w:noBreakHyphen/>
        <w:t xml:space="preserve">merger documentation harmonisation needs, and emerging risks in credit operations, FX markets, and collateral enforcement. </w:t>
      </w:r>
    </w:p>
    <w:p w14:paraId="76EC8B2B" w14:textId="2DC5E447" w:rsidR="002A337E" w:rsidRPr="002A337E" w:rsidRDefault="002A337E" w:rsidP="00C403D7">
      <w:pPr>
        <w:jc w:val="both"/>
        <w:rPr>
          <w:rFonts w:cs="Poppins Light"/>
          <w:szCs w:val="21"/>
        </w:rPr>
      </w:pPr>
      <w:r w:rsidRPr="002A337E">
        <w:rPr>
          <w:rFonts w:cs="Poppins Light"/>
          <w:szCs w:val="21"/>
        </w:rPr>
        <w:t>The revised suite now constitutes a unified documentation ecosystem that</w:t>
      </w:r>
      <w:r w:rsidR="00D740B2">
        <w:rPr>
          <w:rFonts w:cs="Poppins Light"/>
          <w:szCs w:val="21"/>
        </w:rPr>
        <w:t xml:space="preserve"> e</w:t>
      </w:r>
      <w:r w:rsidRPr="002A337E">
        <w:rPr>
          <w:rFonts w:cs="Poppins Light"/>
          <w:szCs w:val="21"/>
        </w:rPr>
        <w:t>liminates duplication and drafting inconsistencies</w:t>
      </w:r>
      <w:r w:rsidR="00D740B2">
        <w:rPr>
          <w:rFonts w:cs="Poppins Light"/>
          <w:szCs w:val="21"/>
        </w:rPr>
        <w:t>, s</w:t>
      </w:r>
      <w:r w:rsidRPr="002A337E">
        <w:rPr>
          <w:rFonts w:cs="Poppins Light"/>
          <w:szCs w:val="21"/>
        </w:rPr>
        <w:t>trengthens security creation and enforcement mechanics</w:t>
      </w:r>
      <w:r w:rsidR="00D740B2">
        <w:rPr>
          <w:rFonts w:cs="Poppins Light"/>
          <w:szCs w:val="21"/>
        </w:rPr>
        <w:t>, e</w:t>
      </w:r>
      <w:r w:rsidRPr="002A337E">
        <w:rPr>
          <w:rFonts w:cs="Poppins Light"/>
          <w:szCs w:val="21"/>
        </w:rPr>
        <w:t>nhances clarity in borrower undertakings</w:t>
      </w:r>
      <w:r w:rsidR="001E552C">
        <w:rPr>
          <w:rFonts w:cs="Poppins Light"/>
          <w:szCs w:val="21"/>
        </w:rPr>
        <w:t>, and a</w:t>
      </w:r>
      <w:r w:rsidRPr="002A337E">
        <w:rPr>
          <w:rFonts w:cs="Poppins Light"/>
          <w:szCs w:val="21"/>
        </w:rPr>
        <w:t>ligns FX exposure provisions with regulatory expectations</w:t>
      </w:r>
    </w:p>
    <w:p w14:paraId="0D7AB196" w14:textId="77777777" w:rsidR="004D7443" w:rsidRDefault="004D7443" w:rsidP="00943F1D">
      <w:pPr>
        <w:jc w:val="both"/>
        <w:rPr>
          <w:rFonts w:cs="Poppins Light"/>
          <w:szCs w:val="21"/>
        </w:rPr>
      </w:pPr>
      <w:r w:rsidRPr="004D7443">
        <w:rPr>
          <w:rFonts w:cs="Poppins Light"/>
          <w:szCs w:val="21"/>
        </w:rPr>
        <w:t>The documentation now materially complies with</w:t>
      </w:r>
      <w:r>
        <w:rPr>
          <w:rFonts w:cs="Poppins Light"/>
          <w:szCs w:val="21"/>
        </w:rPr>
        <w:t xml:space="preserve">: </w:t>
      </w:r>
    </w:p>
    <w:p w14:paraId="28659693" w14:textId="4E8C7437" w:rsidR="009A3B42" w:rsidRPr="00C403D7" w:rsidRDefault="00A94EC1" w:rsidP="009A3B42">
      <w:pPr>
        <w:numPr>
          <w:ilvl w:val="0"/>
          <w:numId w:val="11"/>
        </w:numPr>
        <w:jc w:val="both"/>
        <w:rPr>
          <w:rFonts w:cs="Poppins Light"/>
          <w:szCs w:val="21"/>
        </w:rPr>
      </w:pPr>
      <w:r w:rsidRPr="00C403D7">
        <w:rPr>
          <w:rFonts w:cs="Poppins Light"/>
          <w:szCs w:val="21"/>
        </w:rPr>
        <w:t>CBN prudential and consumer</w:t>
      </w:r>
      <w:r w:rsidRPr="00C403D7">
        <w:rPr>
          <w:rFonts w:cs="Poppins Light"/>
          <w:szCs w:val="21"/>
        </w:rPr>
        <w:noBreakHyphen/>
        <w:t>protection directives</w:t>
      </w:r>
      <w:r w:rsidR="0011710D" w:rsidRPr="00C403D7">
        <w:rPr>
          <w:rFonts w:cs="Poppins Light"/>
          <w:szCs w:val="21"/>
        </w:rPr>
        <w:t>;</w:t>
      </w:r>
    </w:p>
    <w:p w14:paraId="5FF04438" w14:textId="7D533227" w:rsidR="00A94EC1" w:rsidRPr="00C403D7" w:rsidRDefault="009A3B42" w:rsidP="009A3B42">
      <w:pPr>
        <w:numPr>
          <w:ilvl w:val="0"/>
          <w:numId w:val="11"/>
        </w:numPr>
        <w:jc w:val="both"/>
        <w:rPr>
          <w:rFonts w:cs="Poppins Light"/>
          <w:szCs w:val="21"/>
        </w:rPr>
      </w:pPr>
      <w:r w:rsidRPr="00C403D7">
        <w:rPr>
          <w:rFonts w:cs="Poppins Light"/>
          <w:szCs w:val="21"/>
        </w:rPr>
        <w:t>LMA standards</w:t>
      </w:r>
      <w:r w:rsidR="0011710D" w:rsidRPr="00C403D7">
        <w:rPr>
          <w:rFonts w:cs="Poppins Light"/>
          <w:szCs w:val="21"/>
        </w:rPr>
        <w:t>;</w:t>
      </w:r>
    </w:p>
    <w:p w14:paraId="73196F00" w14:textId="7BB7F51B" w:rsidR="009A3B42" w:rsidRPr="00C403D7" w:rsidRDefault="00A94EC1" w:rsidP="009A3B42">
      <w:pPr>
        <w:numPr>
          <w:ilvl w:val="0"/>
          <w:numId w:val="11"/>
        </w:numPr>
        <w:jc w:val="both"/>
        <w:rPr>
          <w:rFonts w:cs="Poppins Light"/>
          <w:szCs w:val="21"/>
        </w:rPr>
      </w:pPr>
      <w:r w:rsidRPr="00C403D7">
        <w:rPr>
          <w:rFonts w:cs="Poppins Light"/>
          <w:szCs w:val="21"/>
        </w:rPr>
        <w:t>NFIU documentation standards for financial institutions</w:t>
      </w:r>
      <w:r w:rsidR="0011710D" w:rsidRPr="00C403D7">
        <w:rPr>
          <w:rFonts w:cs="Poppins Light"/>
          <w:szCs w:val="21"/>
        </w:rPr>
        <w:t>;</w:t>
      </w:r>
      <w:r w:rsidR="009A3B42" w:rsidRPr="00C403D7">
        <w:rPr>
          <w:rFonts w:cs="Poppins Light"/>
          <w:szCs w:val="21"/>
        </w:rPr>
        <w:t xml:space="preserve"> and</w:t>
      </w:r>
    </w:p>
    <w:p w14:paraId="75E59DE0" w14:textId="6D7F8EAA" w:rsidR="003F2EAB" w:rsidRPr="00C403D7" w:rsidRDefault="009A3B42" w:rsidP="00A65FA7">
      <w:pPr>
        <w:numPr>
          <w:ilvl w:val="0"/>
          <w:numId w:val="11"/>
        </w:numPr>
        <w:jc w:val="both"/>
        <w:rPr>
          <w:rFonts w:cs="Poppins Light"/>
          <w:szCs w:val="21"/>
        </w:rPr>
      </w:pPr>
      <w:r w:rsidRPr="00C403D7">
        <w:rPr>
          <w:rFonts w:cs="Poppins Light"/>
          <w:szCs w:val="21"/>
        </w:rPr>
        <w:t>Judicial standards requiring fairness of terms and clarity in loan transactions.</w:t>
      </w:r>
    </w:p>
    <w:p w14:paraId="1A74F797" w14:textId="77777777" w:rsidR="003F2EAB" w:rsidRPr="00C403D7" w:rsidRDefault="003F2EAB" w:rsidP="00A65FA7">
      <w:pPr>
        <w:jc w:val="both"/>
        <w:rPr>
          <w:rFonts w:cs="Poppins Light"/>
          <w:szCs w:val="21"/>
        </w:rPr>
      </w:pPr>
    </w:p>
    <w:p w14:paraId="13B51C48" w14:textId="7078EDFF" w:rsidR="00A94EC1" w:rsidRPr="005F4720" w:rsidRDefault="005F4720" w:rsidP="005F4720">
      <w:pPr>
        <w:jc w:val="both"/>
        <w:rPr>
          <w:rFonts w:cs="Poppins Light"/>
          <w:b/>
          <w:bCs/>
          <w:szCs w:val="21"/>
        </w:rPr>
      </w:pPr>
      <w:r>
        <w:rPr>
          <w:rFonts w:cs="Poppins Light"/>
          <w:b/>
          <w:bCs/>
          <w:szCs w:val="21"/>
        </w:rPr>
        <w:t>5.</w:t>
      </w:r>
      <w:r>
        <w:rPr>
          <w:rFonts w:cs="Poppins Light"/>
          <w:b/>
          <w:bCs/>
          <w:szCs w:val="21"/>
        </w:rPr>
        <w:tab/>
      </w:r>
      <w:r w:rsidR="00A94EC1" w:rsidRPr="005F4720">
        <w:rPr>
          <w:rFonts w:cs="Poppins Light"/>
          <w:b/>
          <w:bCs/>
          <w:szCs w:val="21"/>
        </w:rPr>
        <w:t>C</w:t>
      </w:r>
      <w:r w:rsidR="00B9075C" w:rsidRPr="005F4720">
        <w:rPr>
          <w:rFonts w:cs="Poppins Light"/>
          <w:b/>
          <w:bCs/>
          <w:szCs w:val="21"/>
        </w:rPr>
        <w:t>URRENT RISKS AND MITIGATIONS</w:t>
      </w:r>
      <w:r w:rsidR="00D12EA0" w:rsidRPr="005F4720">
        <w:rPr>
          <w:rFonts w:cs="Poppins Light"/>
          <w:b/>
          <w:bCs/>
          <w:szCs w:val="21"/>
        </w:rPr>
        <w:t xml:space="preserve"> CONSIDERATIONS</w:t>
      </w:r>
    </w:p>
    <w:p w14:paraId="4671865E" w14:textId="77777777" w:rsidR="00144C0C" w:rsidRPr="00144C0C" w:rsidRDefault="00144C0C" w:rsidP="00144C0C">
      <w:pPr>
        <w:spacing w:before="100" w:beforeAutospacing="1" w:after="100" w:afterAutospacing="1" w:line="240" w:lineRule="auto"/>
        <w:jc w:val="both"/>
        <w:rPr>
          <w:rFonts w:eastAsia="Times New Roman" w:cs="Poppins Light"/>
          <w:kern w:val="0"/>
          <w:sz w:val="20"/>
          <w:szCs w:val="20"/>
          <w:lang w:eastAsia="en-GB"/>
          <w14:ligatures w14:val="none"/>
        </w:rPr>
      </w:pPr>
      <w:r w:rsidRPr="00144C0C">
        <w:rPr>
          <w:rFonts w:eastAsia="Times New Roman" w:cs="Poppins Light"/>
          <w:kern w:val="0"/>
          <w:sz w:val="20"/>
          <w:szCs w:val="20"/>
          <w:lang w:eastAsia="en-GB"/>
          <w14:ligatures w14:val="none"/>
        </w:rPr>
        <w:t>While the revised documentation suite substantially strengthens the Bank’s legal and regulatory position, certain residual implementation and operational risks remain. These risks are not structural deficiencies in the documentation itself, but rather relate to deployment, governance, and evolving regulatory dynamics.</w:t>
      </w:r>
    </w:p>
    <w:p w14:paraId="0C3CAD6D" w14:textId="77777777" w:rsidR="00144C0C" w:rsidRPr="00144C0C" w:rsidRDefault="00144C0C" w:rsidP="00144C0C">
      <w:pPr>
        <w:spacing w:before="100" w:beforeAutospacing="1" w:after="100" w:afterAutospacing="1" w:line="240" w:lineRule="auto"/>
        <w:jc w:val="both"/>
        <w:rPr>
          <w:rFonts w:eastAsia="Times New Roman" w:cs="Poppins Light"/>
          <w:kern w:val="0"/>
          <w:sz w:val="20"/>
          <w:szCs w:val="20"/>
          <w:lang w:eastAsia="en-GB"/>
          <w14:ligatures w14:val="none"/>
        </w:rPr>
      </w:pPr>
      <w:r w:rsidRPr="00144C0C">
        <w:rPr>
          <w:rFonts w:eastAsia="Times New Roman" w:cs="Poppins Light"/>
          <w:kern w:val="0"/>
          <w:sz w:val="20"/>
          <w:szCs w:val="20"/>
          <w:lang w:eastAsia="en-GB"/>
          <w14:ligatures w14:val="none"/>
        </w:rPr>
        <w:t>Among the key residual risks identified are:</w:t>
      </w:r>
    </w:p>
    <w:p w14:paraId="0ED5E9F2" w14:textId="325E5863" w:rsidR="00144C0C" w:rsidRPr="00C403D7" w:rsidRDefault="00144C0C" w:rsidP="00C403D7">
      <w:pPr>
        <w:pStyle w:val="ListParagraph"/>
        <w:numPr>
          <w:ilvl w:val="0"/>
          <w:numId w:val="33"/>
        </w:numPr>
        <w:spacing w:before="100" w:beforeAutospacing="1" w:after="100" w:afterAutospacing="1" w:line="240" w:lineRule="auto"/>
        <w:jc w:val="both"/>
        <w:rPr>
          <w:rFonts w:eastAsia="Times New Roman" w:cs="Poppins Light"/>
          <w:kern w:val="0"/>
          <w:sz w:val="20"/>
          <w:szCs w:val="20"/>
          <w:lang w:eastAsia="en-GB"/>
          <w14:ligatures w14:val="none"/>
        </w:rPr>
      </w:pPr>
      <w:r w:rsidRPr="00C403D7">
        <w:rPr>
          <w:rFonts w:eastAsia="Times New Roman" w:cs="Poppins Light"/>
          <w:b/>
          <w:bCs/>
          <w:kern w:val="0"/>
          <w:sz w:val="20"/>
          <w:szCs w:val="20"/>
          <w:lang w:eastAsia="en-GB"/>
          <w14:ligatures w14:val="none"/>
        </w:rPr>
        <w:t>Operational misalignment</w:t>
      </w:r>
      <w:r w:rsidRPr="00C403D7">
        <w:rPr>
          <w:rFonts w:eastAsia="Times New Roman" w:cs="Poppins Light"/>
          <w:kern w:val="0"/>
          <w:sz w:val="20"/>
          <w:szCs w:val="20"/>
          <w:lang w:eastAsia="en-GB"/>
          <w14:ligatures w14:val="none"/>
        </w:rPr>
        <w:t xml:space="preserve"> in the implementation of the revised templates across business units and branches;</w:t>
      </w:r>
    </w:p>
    <w:p w14:paraId="3F7C96FF" w14:textId="77777777" w:rsidR="00144C0C" w:rsidRPr="00144C0C" w:rsidRDefault="00144C0C" w:rsidP="00144C0C">
      <w:pPr>
        <w:numPr>
          <w:ilvl w:val="0"/>
          <w:numId w:val="33"/>
        </w:numPr>
        <w:spacing w:before="100" w:beforeAutospacing="1" w:after="100" w:afterAutospacing="1" w:line="240" w:lineRule="auto"/>
        <w:jc w:val="both"/>
        <w:rPr>
          <w:rFonts w:eastAsia="Times New Roman" w:cs="Poppins Light"/>
          <w:kern w:val="0"/>
          <w:sz w:val="20"/>
          <w:szCs w:val="20"/>
          <w:lang w:eastAsia="en-GB"/>
          <w14:ligatures w14:val="none"/>
        </w:rPr>
      </w:pPr>
      <w:r w:rsidRPr="00144C0C">
        <w:rPr>
          <w:rFonts w:eastAsia="Times New Roman" w:cs="Poppins Light"/>
          <w:b/>
          <w:bCs/>
          <w:kern w:val="0"/>
          <w:sz w:val="20"/>
          <w:szCs w:val="20"/>
          <w:lang w:eastAsia="en-GB"/>
          <w14:ligatures w14:val="none"/>
        </w:rPr>
        <w:t>Inconsistent deployment or legacy template usage</w:t>
      </w:r>
      <w:r w:rsidRPr="00144C0C">
        <w:rPr>
          <w:rFonts w:eastAsia="Times New Roman" w:cs="Poppins Light"/>
          <w:kern w:val="0"/>
          <w:sz w:val="20"/>
          <w:szCs w:val="20"/>
          <w:lang w:eastAsia="en-GB"/>
          <w14:ligatures w14:val="none"/>
        </w:rPr>
        <w:t>, which may undermine standardisation efforts;</w:t>
      </w:r>
    </w:p>
    <w:p w14:paraId="29B98350" w14:textId="77777777" w:rsidR="00144C0C" w:rsidRPr="00144C0C" w:rsidRDefault="00144C0C" w:rsidP="00144C0C">
      <w:pPr>
        <w:numPr>
          <w:ilvl w:val="0"/>
          <w:numId w:val="33"/>
        </w:numPr>
        <w:spacing w:before="100" w:beforeAutospacing="1" w:after="100" w:afterAutospacing="1" w:line="240" w:lineRule="auto"/>
        <w:jc w:val="both"/>
        <w:rPr>
          <w:rFonts w:eastAsia="Times New Roman" w:cs="Poppins Light"/>
          <w:kern w:val="0"/>
          <w:sz w:val="20"/>
          <w:szCs w:val="20"/>
          <w:lang w:eastAsia="en-GB"/>
          <w14:ligatures w14:val="none"/>
        </w:rPr>
      </w:pPr>
      <w:r w:rsidRPr="00144C0C">
        <w:rPr>
          <w:rFonts w:eastAsia="Times New Roman" w:cs="Poppins Light"/>
          <w:b/>
          <w:bCs/>
          <w:kern w:val="0"/>
          <w:sz w:val="20"/>
          <w:szCs w:val="20"/>
          <w:lang w:eastAsia="en-GB"/>
          <w14:ligatures w14:val="none"/>
        </w:rPr>
        <w:t>Identified procedural gaps</w:t>
      </w:r>
      <w:r w:rsidRPr="00144C0C">
        <w:rPr>
          <w:rFonts w:eastAsia="Times New Roman" w:cs="Poppins Light"/>
          <w:kern w:val="0"/>
          <w:sz w:val="20"/>
          <w:szCs w:val="20"/>
          <w:lang w:eastAsia="en-GB"/>
          <w14:ligatures w14:val="none"/>
        </w:rPr>
        <w:t xml:space="preserve"> in documentation governance and version control; and</w:t>
      </w:r>
    </w:p>
    <w:p w14:paraId="7080617E" w14:textId="77777777" w:rsidR="002D3306" w:rsidRDefault="00C321E4" w:rsidP="00943F1D">
      <w:pPr>
        <w:jc w:val="both"/>
        <w:rPr>
          <w:rFonts w:cs="Poppins Light"/>
          <w:szCs w:val="21"/>
        </w:rPr>
      </w:pPr>
      <w:r w:rsidRPr="00C321E4">
        <w:rPr>
          <w:rFonts w:cs="Poppins Light"/>
          <w:szCs w:val="21"/>
        </w:rPr>
        <w:t>These risks can be effectively mitigated through structured governance controls, centralised template management, targeted staff training, and ongoing regulatory monitoring, as further outlined in the Recommendations section of this Report</w:t>
      </w:r>
      <w:r w:rsidR="002D3306">
        <w:rPr>
          <w:rFonts w:cs="Poppins Light"/>
          <w:szCs w:val="21"/>
        </w:rPr>
        <w:t xml:space="preserve">. </w:t>
      </w:r>
    </w:p>
    <w:p w14:paraId="0150EDAB" w14:textId="41EFA3C3" w:rsidR="00A94EC1" w:rsidRDefault="00A94EC1" w:rsidP="00943F1D">
      <w:pPr>
        <w:jc w:val="both"/>
        <w:rPr>
          <w:rFonts w:cs="Poppins Light"/>
          <w:szCs w:val="21"/>
        </w:rPr>
      </w:pPr>
    </w:p>
    <w:p w14:paraId="6621CB5D" w14:textId="77777777" w:rsidR="005F4720" w:rsidRPr="00C403D7" w:rsidRDefault="005F4720" w:rsidP="00943F1D">
      <w:pPr>
        <w:jc w:val="both"/>
        <w:rPr>
          <w:rFonts w:cs="Poppins Light"/>
          <w:szCs w:val="21"/>
        </w:rPr>
      </w:pPr>
    </w:p>
    <w:p w14:paraId="7F58B2FD" w14:textId="37052619" w:rsidR="00FF07C3" w:rsidRPr="005F4720" w:rsidRDefault="005F4720" w:rsidP="005F4720">
      <w:pPr>
        <w:jc w:val="both"/>
        <w:rPr>
          <w:rFonts w:cs="Poppins Light"/>
          <w:b/>
          <w:bCs/>
          <w:szCs w:val="21"/>
        </w:rPr>
      </w:pPr>
      <w:r>
        <w:rPr>
          <w:rFonts w:cs="Poppins Light"/>
          <w:b/>
          <w:bCs/>
          <w:szCs w:val="21"/>
        </w:rPr>
        <w:lastRenderedPageBreak/>
        <w:t>6.</w:t>
      </w:r>
      <w:r>
        <w:rPr>
          <w:rFonts w:cs="Poppins Light"/>
          <w:b/>
          <w:bCs/>
          <w:szCs w:val="21"/>
        </w:rPr>
        <w:tab/>
      </w:r>
      <w:r w:rsidR="00A94EC1" w:rsidRPr="005F4720">
        <w:rPr>
          <w:rFonts w:cs="Poppins Light"/>
          <w:b/>
          <w:bCs/>
          <w:szCs w:val="21"/>
        </w:rPr>
        <w:t>RECOMMENDATIONS</w:t>
      </w:r>
    </w:p>
    <w:p w14:paraId="17279310" w14:textId="08680173" w:rsidR="008E41EE" w:rsidRDefault="00FF07C3" w:rsidP="005F4720">
      <w:pPr>
        <w:ind w:left="360"/>
        <w:jc w:val="both"/>
        <w:rPr>
          <w:rFonts w:cs="Poppins Light"/>
          <w:szCs w:val="21"/>
        </w:rPr>
      </w:pPr>
      <w:r w:rsidRPr="00FF07C3">
        <w:rPr>
          <w:rFonts w:cs="Poppins Light"/>
          <w:szCs w:val="21"/>
        </w:rPr>
        <w:t>To ensure the long-term effectiveness, integrity, and sustainability of the revised documentation suite, we recommend the implementation of a structured governance and compliance framework. While the documentation has been substantively strengthened, its continued robustness will depend on disciplined adoption, regulatory responsiveness, and institutional oversight. The recommendations below are designed to embed the revised standards across the Bank’s operations and mitigate future legal and regulatory ris</w:t>
      </w:r>
      <w:r w:rsidRPr="00C403D7">
        <w:rPr>
          <w:rFonts w:cs="Poppins Light"/>
          <w:szCs w:val="21"/>
        </w:rPr>
        <w:t>ks.</w:t>
      </w:r>
    </w:p>
    <w:p w14:paraId="7BE6F0E5" w14:textId="5821268C" w:rsidR="008E41EE" w:rsidRPr="008E41EE" w:rsidRDefault="005F4720" w:rsidP="008E41EE">
      <w:pPr>
        <w:jc w:val="both"/>
        <w:rPr>
          <w:rFonts w:cs="Poppins Light"/>
          <w:b/>
          <w:bCs/>
          <w:szCs w:val="21"/>
        </w:rPr>
      </w:pPr>
      <w:r>
        <w:rPr>
          <w:rFonts w:cs="Poppins Light"/>
          <w:b/>
          <w:bCs/>
          <w:szCs w:val="21"/>
        </w:rPr>
        <w:t>6.1</w:t>
      </w:r>
      <w:r>
        <w:rPr>
          <w:rFonts w:cs="Poppins Light"/>
          <w:b/>
          <w:bCs/>
          <w:szCs w:val="21"/>
        </w:rPr>
        <w:tab/>
      </w:r>
      <w:r w:rsidR="008E41EE" w:rsidRPr="008E41EE">
        <w:rPr>
          <w:rFonts w:cs="Poppins Light"/>
          <w:b/>
          <w:bCs/>
          <w:szCs w:val="21"/>
        </w:rPr>
        <w:t>Governance and Sustainability Measures</w:t>
      </w:r>
    </w:p>
    <w:p w14:paraId="65B48669" w14:textId="77777777" w:rsidR="008E41EE" w:rsidRPr="008E41EE" w:rsidRDefault="008E41EE" w:rsidP="008E41EE">
      <w:pPr>
        <w:jc w:val="both"/>
        <w:rPr>
          <w:rFonts w:cs="Poppins Light"/>
          <w:szCs w:val="21"/>
        </w:rPr>
      </w:pPr>
      <w:r w:rsidRPr="008E41EE">
        <w:rPr>
          <w:rFonts w:cs="Poppins Light"/>
          <w:szCs w:val="21"/>
        </w:rPr>
        <w:t>To preserve alignment with evolving regulatory and market standards, the Bank should:</w:t>
      </w:r>
    </w:p>
    <w:p w14:paraId="599568D9" w14:textId="77777777" w:rsidR="008E41EE" w:rsidRPr="008E41EE" w:rsidRDefault="008E41EE" w:rsidP="008E41EE">
      <w:pPr>
        <w:numPr>
          <w:ilvl w:val="0"/>
          <w:numId w:val="30"/>
        </w:numPr>
        <w:jc w:val="both"/>
        <w:rPr>
          <w:rFonts w:cs="Poppins Light"/>
          <w:szCs w:val="21"/>
        </w:rPr>
      </w:pPr>
      <w:r w:rsidRPr="008E41EE">
        <w:rPr>
          <w:rFonts w:cs="Poppins Light"/>
          <w:szCs w:val="21"/>
        </w:rPr>
        <w:t>Establish an annual documentation review cycle to reassess templates against regulatory updates, judicial developments, and market practice.</w:t>
      </w:r>
    </w:p>
    <w:p w14:paraId="53E42C97" w14:textId="77777777" w:rsidR="008E41EE" w:rsidRPr="008E41EE" w:rsidRDefault="008E41EE" w:rsidP="008E41EE">
      <w:pPr>
        <w:numPr>
          <w:ilvl w:val="0"/>
          <w:numId w:val="30"/>
        </w:numPr>
        <w:jc w:val="both"/>
        <w:rPr>
          <w:rFonts w:cs="Poppins Light"/>
          <w:szCs w:val="21"/>
        </w:rPr>
      </w:pPr>
      <w:r w:rsidRPr="008E41EE">
        <w:rPr>
          <w:rFonts w:cs="Poppins Light"/>
          <w:szCs w:val="21"/>
        </w:rPr>
        <w:t>Implement a structured regulatory monitoring mechanism to track CBN circulars, legislative amendments, and material court decisions affecting credit and security documentation.</w:t>
      </w:r>
    </w:p>
    <w:p w14:paraId="738F7BF0" w14:textId="16040AB0" w:rsidR="008E41EE" w:rsidRPr="008E41EE" w:rsidRDefault="008E41EE" w:rsidP="008E41EE">
      <w:pPr>
        <w:numPr>
          <w:ilvl w:val="0"/>
          <w:numId w:val="30"/>
        </w:numPr>
        <w:jc w:val="both"/>
        <w:rPr>
          <w:rFonts w:cs="Poppins Light"/>
          <w:szCs w:val="21"/>
        </w:rPr>
      </w:pPr>
      <w:r w:rsidRPr="008E41EE">
        <w:rPr>
          <w:rFonts w:cs="Poppins Light"/>
          <w:szCs w:val="21"/>
        </w:rPr>
        <w:t>Adopt a centralised, live document management system with strict version control protocols to prevent unauthorised modifications and ensure consistent usage of approved templates</w:t>
      </w:r>
      <w:r w:rsidR="00FF5AEE">
        <w:rPr>
          <w:rFonts w:cs="Poppins Light"/>
          <w:szCs w:val="21"/>
        </w:rPr>
        <w:t>.</w:t>
      </w:r>
    </w:p>
    <w:p w14:paraId="3F9E1CB8" w14:textId="13C192AC" w:rsidR="002479EA" w:rsidRPr="002479EA" w:rsidRDefault="005F4720" w:rsidP="002479EA">
      <w:pPr>
        <w:jc w:val="both"/>
        <w:rPr>
          <w:rFonts w:cs="Poppins Light"/>
          <w:b/>
          <w:bCs/>
          <w:szCs w:val="21"/>
        </w:rPr>
      </w:pPr>
      <w:r>
        <w:rPr>
          <w:rFonts w:cs="Poppins Light"/>
          <w:b/>
          <w:bCs/>
          <w:szCs w:val="21"/>
        </w:rPr>
        <w:t>6.2</w:t>
      </w:r>
      <w:r>
        <w:rPr>
          <w:rFonts w:cs="Poppins Light"/>
          <w:b/>
          <w:bCs/>
          <w:szCs w:val="21"/>
        </w:rPr>
        <w:tab/>
      </w:r>
      <w:r w:rsidR="002479EA" w:rsidRPr="002479EA">
        <w:rPr>
          <w:rFonts w:cs="Poppins Light"/>
          <w:b/>
          <w:bCs/>
          <w:szCs w:val="21"/>
        </w:rPr>
        <w:t>Risk Mitigation and Compliance</w:t>
      </w:r>
    </w:p>
    <w:p w14:paraId="2FC0A113" w14:textId="77777777" w:rsidR="002479EA" w:rsidRPr="002479EA" w:rsidRDefault="002479EA" w:rsidP="002479EA">
      <w:pPr>
        <w:jc w:val="both"/>
        <w:rPr>
          <w:rFonts w:cs="Poppins Light"/>
          <w:szCs w:val="21"/>
        </w:rPr>
      </w:pPr>
      <w:r w:rsidRPr="002479EA">
        <w:rPr>
          <w:rFonts w:cs="Poppins Light"/>
          <w:szCs w:val="21"/>
        </w:rPr>
        <w:t>To ensure uniform implementation and minimise operational risk, the Bank should:</w:t>
      </w:r>
    </w:p>
    <w:p w14:paraId="0BF034C4" w14:textId="77777777" w:rsidR="002479EA" w:rsidRPr="002479EA" w:rsidRDefault="002479EA" w:rsidP="002479EA">
      <w:pPr>
        <w:numPr>
          <w:ilvl w:val="0"/>
          <w:numId w:val="31"/>
        </w:numPr>
        <w:jc w:val="both"/>
        <w:rPr>
          <w:rFonts w:cs="Poppins Light"/>
          <w:szCs w:val="21"/>
        </w:rPr>
      </w:pPr>
      <w:r w:rsidRPr="002479EA">
        <w:rPr>
          <w:rFonts w:cs="Poppins Light"/>
          <w:szCs w:val="21"/>
        </w:rPr>
        <w:t>Conduct mandatory training sessions for Credit, Legal, Risk, and Operations teams on the revised templates and their practical deployment.</w:t>
      </w:r>
    </w:p>
    <w:p w14:paraId="1924F508" w14:textId="77777777" w:rsidR="002479EA" w:rsidRPr="002479EA" w:rsidRDefault="002479EA" w:rsidP="002479EA">
      <w:pPr>
        <w:numPr>
          <w:ilvl w:val="0"/>
          <w:numId w:val="31"/>
        </w:numPr>
        <w:jc w:val="both"/>
        <w:rPr>
          <w:rFonts w:cs="Poppins Light"/>
          <w:szCs w:val="21"/>
        </w:rPr>
      </w:pPr>
      <w:r w:rsidRPr="002479EA">
        <w:rPr>
          <w:rFonts w:cs="Poppins Light"/>
          <w:szCs w:val="21"/>
        </w:rPr>
        <w:t>Implement a unified Legal Documentation Policy applicable across all branches and business units.</w:t>
      </w:r>
    </w:p>
    <w:p w14:paraId="39D905BB" w14:textId="3AAA456D" w:rsidR="002479EA" w:rsidRDefault="002479EA" w:rsidP="002479EA">
      <w:pPr>
        <w:numPr>
          <w:ilvl w:val="0"/>
          <w:numId w:val="31"/>
        </w:numPr>
        <w:jc w:val="both"/>
        <w:rPr>
          <w:rFonts w:cs="Poppins Light"/>
          <w:szCs w:val="21"/>
        </w:rPr>
      </w:pPr>
      <w:r w:rsidRPr="002479EA">
        <w:rPr>
          <w:rFonts w:cs="Poppins Light"/>
          <w:szCs w:val="21"/>
        </w:rPr>
        <w:t>Conduct periodic internal compliance audits to verify consistent application of the approved documentation suite</w:t>
      </w:r>
      <w:r w:rsidR="00DB22F1">
        <w:rPr>
          <w:rFonts w:cs="Poppins Light"/>
          <w:szCs w:val="21"/>
        </w:rPr>
        <w:t>.</w:t>
      </w:r>
    </w:p>
    <w:p w14:paraId="1F3A49D2" w14:textId="157688DF" w:rsidR="00DB22F1" w:rsidRPr="00DB22F1" w:rsidRDefault="005F4720" w:rsidP="00DB22F1">
      <w:pPr>
        <w:jc w:val="both"/>
        <w:rPr>
          <w:rFonts w:cs="Poppins Light"/>
          <w:b/>
          <w:bCs/>
          <w:szCs w:val="21"/>
        </w:rPr>
      </w:pPr>
      <w:r w:rsidRPr="005F4720">
        <w:rPr>
          <w:rFonts w:cs="Poppins Light"/>
          <w:b/>
          <w:bCs/>
          <w:szCs w:val="21"/>
        </w:rPr>
        <w:t>6.3</w:t>
      </w:r>
      <w:r>
        <w:rPr>
          <w:rFonts w:cs="Poppins Light"/>
          <w:szCs w:val="21"/>
        </w:rPr>
        <w:tab/>
      </w:r>
      <w:r w:rsidR="00DB22F1" w:rsidRPr="00DB22F1">
        <w:rPr>
          <w:rFonts w:cs="Poppins Light"/>
          <w:b/>
          <w:bCs/>
          <w:szCs w:val="21"/>
        </w:rPr>
        <w:t xml:space="preserve"> Implementation Timelines</w:t>
      </w:r>
    </w:p>
    <w:p w14:paraId="1A2EAE5F" w14:textId="77777777" w:rsidR="00DB22F1" w:rsidRPr="00DB22F1" w:rsidRDefault="00DB22F1" w:rsidP="00DB22F1">
      <w:pPr>
        <w:jc w:val="both"/>
        <w:rPr>
          <w:rFonts w:cs="Poppins Light"/>
          <w:szCs w:val="21"/>
        </w:rPr>
      </w:pPr>
      <w:r w:rsidRPr="00DB22F1">
        <w:rPr>
          <w:rFonts w:cs="Poppins Light"/>
          <w:szCs w:val="21"/>
        </w:rPr>
        <w:t>We recommend the following phased implementation approach:</w:t>
      </w:r>
    </w:p>
    <w:p w14:paraId="0BE42504" w14:textId="37246B93" w:rsidR="00DB22F1" w:rsidRPr="00DB22F1" w:rsidRDefault="00DB22F1" w:rsidP="00DB22F1">
      <w:pPr>
        <w:numPr>
          <w:ilvl w:val="0"/>
          <w:numId w:val="32"/>
        </w:numPr>
        <w:jc w:val="both"/>
        <w:rPr>
          <w:rFonts w:cs="Poppins Light"/>
          <w:szCs w:val="21"/>
        </w:rPr>
      </w:pPr>
      <w:r w:rsidRPr="00DB22F1">
        <w:rPr>
          <w:rFonts w:cs="Poppins Light"/>
          <w:szCs w:val="21"/>
        </w:rPr>
        <w:t>Migration to the standardised documentation suite</w:t>
      </w:r>
      <w:r w:rsidR="00DB07BF">
        <w:rPr>
          <w:rFonts w:cs="Poppins Light"/>
          <w:szCs w:val="21"/>
        </w:rPr>
        <w:t xml:space="preserve"> </w:t>
      </w:r>
      <w:r w:rsidRPr="00DB22F1">
        <w:rPr>
          <w:rFonts w:cs="Poppins Light"/>
          <w:szCs w:val="21"/>
        </w:rPr>
        <w:t>within 30 days of report adoption.</w:t>
      </w:r>
    </w:p>
    <w:p w14:paraId="4A6CCE43" w14:textId="75F16EA5" w:rsidR="00DB22F1" w:rsidRPr="00DB22F1" w:rsidRDefault="00DB22F1" w:rsidP="00DB22F1">
      <w:pPr>
        <w:numPr>
          <w:ilvl w:val="0"/>
          <w:numId w:val="32"/>
        </w:numPr>
        <w:jc w:val="both"/>
        <w:rPr>
          <w:rFonts w:cs="Poppins Light"/>
          <w:szCs w:val="21"/>
        </w:rPr>
      </w:pPr>
      <w:r w:rsidRPr="00DB22F1">
        <w:rPr>
          <w:rFonts w:cs="Poppins Light"/>
          <w:szCs w:val="21"/>
        </w:rPr>
        <w:t>Rollout of structured training programmes</w:t>
      </w:r>
      <w:r w:rsidR="00DB07BF">
        <w:rPr>
          <w:rFonts w:cs="Poppins Light"/>
          <w:szCs w:val="21"/>
        </w:rPr>
        <w:t xml:space="preserve"> </w:t>
      </w:r>
      <w:r w:rsidRPr="00DB22F1">
        <w:rPr>
          <w:rFonts w:cs="Poppins Light"/>
          <w:szCs w:val="21"/>
        </w:rPr>
        <w:t xml:space="preserve">within </w:t>
      </w:r>
      <w:r w:rsidR="00DB07BF">
        <w:rPr>
          <w:rFonts w:cs="Poppins Light"/>
          <w:szCs w:val="21"/>
        </w:rPr>
        <w:t>3</w:t>
      </w:r>
      <w:r w:rsidRPr="00DB22F1">
        <w:rPr>
          <w:rFonts w:cs="Poppins Light"/>
          <w:szCs w:val="21"/>
        </w:rPr>
        <w:t xml:space="preserve"> months.</w:t>
      </w:r>
    </w:p>
    <w:p w14:paraId="01C9B948" w14:textId="35BEE5F9" w:rsidR="00345129" w:rsidRDefault="00DB22F1" w:rsidP="00345129">
      <w:pPr>
        <w:numPr>
          <w:ilvl w:val="0"/>
          <w:numId w:val="32"/>
        </w:numPr>
        <w:jc w:val="both"/>
        <w:rPr>
          <w:rFonts w:cs="Poppins Light"/>
          <w:szCs w:val="21"/>
        </w:rPr>
      </w:pPr>
      <w:r w:rsidRPr="00DB22F1">
        <w:rPr>
          <w:rFonts w:cs="Poppins Light"/>
          <w:szCs w:val="21"/>
        </w:rPr>
        <w:lastRenderedPageBreak/>
        <w:t>First internal documentation compliance audit</w:t>
      </w:r>
      <w:r w:rsidR="00DB07BF">
        <w:rPr>
          <w:rFonts w:cs="Poppins Light"/>
          <w:szCs w:val="21"/>
        </w:rPr>
        <w:t xml:space="preserve"> </w:t>
      </w:r>
      <w:r w:rsidRPr="00DB22F1">
        <w:rPr>
          <w:rFonts w:cs="Poppins Light"/>
          <w:szCs w:val="21"/>
        </w:rPr>
        <w:t>within 12 months of adoption</w:t>
      </w:r>
      <w:r w:rsidR="006577BC">
        <w:rPr>
          <w:rFonts w:cs="Poppins Light"/>
          <w:szCs w:val="21"/>
        </w:rPr>
        <w:t>.</w:t>
      </w:r>
    </w:p>
    <w:p w14:paraId="2BD4300A" w14:textId="77777777" w:rsidR="005F4720" w:rsidRPr="006577BC" w:rsidRDefault="005F4720" w:rsidP="005F4720">
      <w:pPr>
        <w:ind w:left="720"/>
        <w:jc w:val="both"/>
        <w:rPr>
          <w:rFonts w:cs="Poppins Light"/>
          <w:szCs w:val="21"/>
        </w:rPr>
      </w:pPr>
    </w:p>
    <w:p w14:paraId="556CD546" w14:textId="3EA2BDCE" w:rsidR="00A94EC1" w:rsidRPr="005F4720" w:rsidRDefault="005F4720" w:rsidP="005F4720">
      <w:pPr>
        <w:jc w:val="both"/>
        <w:rPr>
          <w:rFonts w:cs="Poppins Light"/>
          <w:b/>
          <w:bCs/>
          <w:szCs w:val="21"/>
        </w:rPr>
      </w:pPr>
      <w:r>
        <w:rPr>
          <w:rFonts w:cs="Poppins Light"/>
          <w:b/>
          <w:bCs/>
          <w:szCs w:val="21"/>
        </w:rPr>
        <w:t>7.</w:t>
      </w:r>
      <w:r>
        <w:rPr>
          <w:rFonts w:cs="Poppins Light"/>
          <w:b/>
          <w:bCs/>
          <w:szCs w:val="21"/>
        </w:rPr>
        <w:tab/>
      </w:r>
      <w:r w:rsidR="00A94EC1" w:rsidRPr="005F4720">
        <w:rPr>
          <w:rFonts w:cs="Poppins Light"/>
          <w:b/>
          <w:bCs/>
          <w:szCs w:val="21"/>
        </w:rPr>
        <w:t>CONCLUSION</w:t>
      </w:r>
    </w:p>
    <w:p w14:paraId="7EC605DC" w14:textId="3E478A78" w:rsidR="00505CD6" w:rsidRPr="00C403D7" w:rsidRDefault="00A94EC1" w:rsidP="00943F1D">
      <w:pPr>
        <w:jc w:val="both"/>
        <w:rPr>
          <w:rFonts w:cs="Poppins Light"/>
          <w:szCs w:val="21"/>
        </w:rPr>
      </w:pPr>
      <w:r w:rsidRPr="00C403D7">
        <w:rPr>
          <w:rFonts w:cs="Poppins Light"/>
          <w:szCs w:val="21"/>
        </w:rPr>
        <w:t xml:space="preserve">Based on the depth of analysis undertaken, </w:t>
      </w:r>
      <w:r w:rsidR="0022236C" w:rsidRPr="0022236C">
        <w:rPr>
          <w:rFonts w:cs="Poppins Light"/>
          <w:szCs w:val="21"/>
        </w:rPr>
        <w:t xml:space="preserve">we are satisfied that the revised </w:t>
      </w:r>
      <w:r w:rsidRPr="00C403D7">
        <w:rPr>
          <w:rFonts w:cs="Poppins Light"/>
          <w:szCs w:val="21"/>
        </w:rPr>
        <w:t xml:space="preserve">documentation suite </w:t>
      </w:r>
      <w:r w:rsidR="00841A31">
        <w:rPr>
          <w:rFonts w:cs="Poppins Light"/>
          <w:szCs w:val="21"/>
        </w:rPr>
        <w:t>re</w:t>
      </w:r>
      <w:r w:rsidR="0082766B">
        <w:rPr>
          <w:rFonts w:cs="Poppins Light"/>
          <w:szCs w:val="21"/>
        </w:rPr>
        <w:t>presents</w:t>
      </w:r>
      <w:r w:rsidRPr="00C403D7">
        <w:rPr>
          <w:rFonts w:cs="Poppins Light"/>
          <w:szCs w:val="21"/>
        </w:rPr>
        <w:t xml:space="preserve"> a coherent, enforceable, and regulatory</w:t>
      </w:r>
      <w:r w:rsidRPr="00C403D7">
        <w:rPr>
          <w:rFonts w:cs="Poppins Light"/>
          <w:szCs w:val="21"/>
        </w:rPr>
        <w:noBreakHyphen/>
        <w:t xml:space="preserve">aligned framework </w:t>
      </w:r>
      <w:r w:rsidR="000D7FE5">
        <w:rPr>
          <w:rFonts w:cs="Poppins Light"/>
          <w:szCs w:val="21"/>
        </w:rPr>
        <w:t xml:space="preserve">appropriate for </w:t>
      </w:r>
      <w:r w:rsidRPr="00C403D7">
        <w:rPr>
          <w:rFonts w:cs="Poppins Light"/>
          <w:szCs w:val="21"/>
        </w:rPr>
        <w:t>the Bank’s operational and strategic objectives.</w:t>
      </w:r>
      <w:r w:rsidR="004B5A2B" w:rsidRPr="00C403D7">
        <w:rPr>
          <w:rFonts w:cs="Poppins Light"/>
          <w:szCs w:val="21"/>
        </w:rPr>
        <w:t xml:space="preserve"> </w:t>
      </w:r>
    </w:p>
    <w:p w14:paraId="52695785" w14:textId="18F39867" w:rsidR="00D431AF" w:rsidRPr="00D431AF" w:rsidRDefault="00505CD6" w:rsidP="00D431AF">
      <w:pPr>
        <w:jc w:val="both"/>
        <w:rPr>
          <w:rFonts w:cs="Poppins Light"/>
          <w:szCs w:val="21"/>
        </w:rPr>
      </w:pPr>
      <w:r w:rsidRPr="00C403D7">
        <w:rPr>
          <w:rFonts w:cs="Poppins Light"/>
          <w:szCs w:val="21"/>
        </w:rPr>
        <w:t>The revised suite</w:t>
      </w:r>
      <w:r w:rsidR="00D431AF">
        <w:rPr>
          <w:rFonts w:cs="Poppins Light"/>
          <w:szCs w:val="21"/>
        </w:rPr>
        <w:t xml:space="preserve"> e</w:t>
      </w:r>
      <w:r w:rsidR="00D431AF" w:rsidRPr="00D431AF">
        <w:rPr>
          <w:rFonts w:cs="Poppins Light"/>
          <w:szCs w:val="21"/>
        </w:rPr>
        <w:t>nhances enforceability</w:t>
      </w:r>
      <w:r w:rsidR="00D431AF">
        <w:rPr>
          <w:rFonts w:cs="Poppins Light"/>
          <w:szCs w:val="21"/>
        </w:rPr>
        <w:t>, r</w:t>
      </w:r>
      <w:r w:rsidR="00D431AF" w:rsidRPr="00D431AF">
        <w:rPr>
          <w:rFonts w:cs="Poppins Light"/>
          <w:szCs w:val="21"/>
        </w:rPr>
        <w:t>educes litigation and regulatory exposure</w:t>
      </w:r>
      <w:r w:rsidR="00D431AF">
        <w:rPr>
          <w:rFonts w:cs="Poppins Light"/>
          <w:szCs w:val="21"/>
        </w:rPr>
        <w:t>, c</w:t>
      </w:r>
      <w:r w:rsidR="00D431AF" w:rsidRPr="00D431AF">
        <w:rPr>
          <w:rFonts w:cs="Poppins Light"/>
          <w:szCs w:val="21"/>
        </w:rPr>
        <w:t>larifies risk allocation</w:t>
      </w:r>
      <w:r w:rsidR="00D431AF">
        <w:rPr>
          <w:rFonts w:cs="Poppins Light"/>
          <w:szCs w:val="21"/>
        </w:rPr>
        <w:t>, a</w:t>
      </w:r>
      <w:r w:rsidR="00D431AF" w:rsidRPr="00D431AF">
        <w:rPr>
          <w:rFonts w:cs="Poppins Light"/>
          <w:szCs w:val="21"/>
        </w:rPr>
        <w:t>ligns with the Bank’s credit governance architecture; and</w:t>
      </w:r>
      <w:r w:rsidR="00D431AF">
        <w:rPr>
          <w:rFonts w:cs="Poppins Light"/>
          <w:szCs w:val="21"/>
        </w:rPr>
        <w:t xml:space="preserve"> m</w:t>
      </w:r>
      <w:r w:rsidR="00D431AF" w:rsidRPr="00D431AF">
        <w:rPr>
          <w:rFonts w:cs="Poppins Light"/>
          <w:szCs w:val="21"/>
        </w:rPr>
        <w:t>odernises the Bank’s legal instruments in line with contemporary banking practice</w:t>
      </w:r>
      <w:r w:rsidR="00D431AF">
        <w:rPr>
          <w:rFonts w:cs="Poppins Light"/>
          <w:szCs w:val="21"/>
        </w:rPr>
        <w:t>.</w:t>
      </w:r>
    </w:p>
    <w:p w14:paraId="4F0B0879" w14:textId="6B6AE452" w:rsidR="00A92635" w:rsidRPr="00C403D7" w:rsidRDefault="004B5A2B" w:rsidP="00943F1D">
      <w:pPr>
        <w:jc w:val="both"/>
        <w:rPr>
          <w:rFonts w:cs="Poppins Light"/>
          <w:szCs w:val="21"/>
        </w:rPr>
      </w:pPr>
      <w:r w:rsidRPr="00C403D7">
        <w:rPr>
          <w:rFonts w:cs="Poppins Light"/>
          <w:szCs w:val="21"/>
        </w:rPr>
        <w:t>We believe that no material documentation gaps remain. However, regulatory shifts</w:t>
      </w:r>
      <w:r w:rsidR="005A11A7" w:rsidRPr="00C403D7">
        <w:rPr>
          <w:rFonts w:cs="Poppins Light"/>
          <w:szCs w:val="21"/>
        </w:rPr>
        <w:t>; particularly those relating to FX, consumer protection and sustainability should be monitored to ensure c</w:t>
      </w:r>
      <w:r w:rsidR="0009573D" w:rsidRPr="00C403D7">
        <w:rPr>
          <w:rFonts w:cs="Poppins Light"/>
          <w:szCs w:val="21"/>
        </w:rPr>
        <w:t xml:space="preserve">ontinued </w:t>
      </w:r>
      <w:r w:rsidR="005A11A7" w:rsidRPr="00C403D7">
        <w:rPr>
          <w:rFonts w:cs="Poppins Light"/>
          <w:szCs w:val="21"/>
        </w:rPr>
        <w:t>compliance.</w:t>
      </w:r>
    </w:p>
    <w:sectPr w:rsidR="00A92635" w:rsidRPr="00C403D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8AACC" w14:textId="77777777" w:rsidR="00FB2232" w:rsidRDefault="00FB2232" w:rsidP="00B9075C">
      <w:pPr>
        <w:spacing w:after="0" w:line="240" w:lineRule="auto"/>
      </w:pPr>
      <w:r>
        <w:separator/>
      </w:r>
    </w:p>
  </w:endnote>
  <w:endnote w:type="continuationSeparator" w:id="0">
    <w:p w14:paraId="4B544618" w14:textId="77777777" w:rsidR="00FB2232" w:rsidRDefault="00FB2232" w:rsidP="00B90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Light">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545961"/>
      <w:docPartObj>
        <w:docPartGallery w:val="Page Numbers (Bottom of Page)"/>
        <w:docPartUnique/>
      </w:docPartObj>
    </w:sdtPr>
    <w:sdtEndPr>
      <w:rPr>
        <w:rFonts w:ascii="Lucida Sans" w:hAnsi="Lucida Sans"/>
        <w:noProof/>
      </w:rPr>
    </w:sdtEndPr>
    <w:sdtContent>
      <w:p w14:paraId="5A24CF0D" w14:textId="63452A3B" w:rsidR="00B9075C" w:rsidRPr="00B9075C" w:rsidRDefault="00B9075C">
        <w:pPr>
          <w:pStyle w:val="Footer"/>
          <w:jc w:val="right"/>
          <w:rPr>
            <w:rFonts w:ascii="Lucida Sans" w:hAnsi="Lucida Sans"/>
          </w:rPr>
        </w:pPr>
        <w:r w:rsidRPr="00B9075C">
          <w:rPr>
            <w:rFonts w:ascii="Lucida Sans" w:hAnsi="Lucida Sans"/>
          </w:rPr>
          <w:fldChar w:fldCharType="begin"/>
        </w:r>
        <w:r w:rsidRPr="00B9075C">
          <w:rPr>
            <w:rFonts w:ascii="Lucida Sans" w:hAnsi="Lucida Sans"/>
          </w:rPr>
          <w:instrText xml:space="preserve"> PAGE   \* MERGEFORMAT </w:instrText>
        </w:r>
        <w:r w:rsidRPr="00B9075C">
          <w:rPr>
            <w:rFonts w:ascii="Lucida Sans" w:hAnsi="Lucida Sans"/>
          </w:rPr>
          <w:fldChar w:fldCharType="separate"/>
        </w:r>
        <w:r w:rsidRPr="00B9075C">
          <w:rPr>
            <w:rFonts w:ascii="Lucida Sans" w:hAnsi="Lucida Sans"/>
            <w:noProof/>
          </w:rPr>
          <w:t>2</w:t>
        </w:r>
        <w:r w:rsidRPr="00B9075C">
          <w:rPr>
            <w:rFonts w:ascii="Lucida Sans" w:hAnsi="Lucida Sans"/>
            <w:noProof/>
          </w:rPr>
          <w:fldChar w:fldCharType="end"/>
        </w:r>
      </w:p>
    </w:sdtContent>
  </w:sdt>
  <w:p w14:paraId="36771A1E" w14:textId="77777777" w:rsidR="00B9075C" w:rsidRDefault="00B90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1C65E" w14:textId="77777777" w:rsidR="00FB2232" w:rsidRDefault="00FB2232" w:rsidP="00B9075C">
      <w:pPr>
        <w:spacing w:after="0" w:line="240" w:lineRule="auto"/>
      </w:pPr>
      <w:r>
        <w:separator/>
      </w:r>
    </w:p>
  </w:footnote>
  <w:footnote w:type="continuationSeparator" w:id="0">
    <w:p w14:paraId="63205FA0" w14:textId="77777777" w:rsidR="00FB2232" w:rsidRDefault="00FB2232" w:rsidP="00B907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011"/>
    <w:multiLevelType w:val="multilevel"/>
    <w:tmpl w:val="D2A838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33BE"/>
    <w:multiLevelType w:val="multilevel"/>
    <w:tmpl w:val="8290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8018A"/>
    <w:multiLevelType w:val="multilevel"/>
    <w:tmpl w:val="7324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70D2F"/>
    <w:multiLevelType w:val="multilevel"/>
    <w:tmpl w:val="EDF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003E5"/>
    <w:multiLevelType w:val="multilevel"/>
    <w:tmpl w:val="51A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D1DCB"/>
    <w:multiLevelType w:val="multilevel"/>
    <w:tmpl w:val="4546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060E5"/>
    <w:multiLevelType w:val="multilevel"/>
    <w:tmpl w:val="829C0C9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C6928"/>
    <w:multiLevelType w:val="multilevel"/>
    <w:tmpl w:val="2F7E69C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F555D"/>
    <w:multiLevelType w:val="multilevel"/>
    <w:tmpl w:val="472A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F106A"/>
    <w:multiLevelType w:val="hybridMultilevel"/>
    <w:tmpl w:val="3036D324"/>
    <w:lvl w:ilvl="0" w:tplc="2000001B">
      <w:start w:val="1"/>
      <w:numFmt w:val="lowerRoman"/>
      <w:lvlText w:val="%1."/>
      <w:lvlJc w:val="righ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A86014E"/>
    <w:multiLevelType w:val="multilevel"/>
    <w:tmpl w:val="6F383412"/>
    <w:lvl w:ilvl="0">
      <w:start w:val="1"/>
      <w:numFmt w:val="lowerRoman"/>
      <w:lvlText w:val="(%1)"/>
      <w:lvlJc w:val="left"/>
      <w:pPr>
        <w:tabs>
          <w:tab w:val="num" w:pos="720"/>
        </w:tabs>
        <w:ind w:left="720" w:hanging="360"/>
      </w:pPr>
      <w:rPr>
        <w:rFonts w:ascii="Poppins Light" w:eastAsia="Times New Roman" w:hAnsi="Poppins Light" w:cs="Poppins Ligh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73E84"/>
    <w:multiLevelType w:val="multilevel"/>
    <w:tmpl w:val="176C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03683"/>
    <w:multiLevelType w:val="multilevel"/>
    <w:tmpl w:val="020CDFAC"/>
    <w:lvl w:ilvl="0">
      <w:start w:val="1"/>
      <w:numFmt w:val="lowerRoman"/>
      <w:lvlText w:val="(%1)"/>
      <w:lvlJc w:val="left"/>
      <w:pPr>
        <w:tabs>
          <w:tab w:val="num" w:pos="720"/>
        </w:tabs>
        <w:ind w:left="720" w:hanging="360"/>
      </w:pPr>
      <w:rPr>
        <w:rFonts w:ascii="Poppins Light" w:eastAsiaTheme="minorHAnsi" w:hAnsi="Poppins Light" w:cs="Poppins Ligh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42E07"/>
    <w:multiLevelType w:val="multilevel"/>
    <w:tmpl w:val="202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20A9E"/>
    <w:multiLevelType w:val="multilevel"/>
    <w:tmpl w:val="0C9A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712CDE"/>
    <w:multiLevelType w:val="hybridMultilevel"/>
    <w:tmpl w:val="6E2C30BA"/>
    <w:lvl w:ilvl="0" w:tplc="4ABA416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FB18AE"/>
    <w:multiLevelType w:val="multilevel"/>
    <w:tmpl w:val="031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A400B"/>
    <w:multiLevelType w:val="multilevel"/>
    <w:tmpl w:val="7B40CFE4"/>
    <w:lvl w:ilvl="0">
      <w:start w:val="1"/>
      <w:numFmt w:val="lowerRoman"/>
      <w:lvlText w:val="(%1)"/>
      <w:lvlJc w:val="left"/>
      <w:pPr>
        <w:tabs>
          <w:tab w:val="num" w:pos="720"/>
        </w:tabs>
        <w:ind w:left="720" w:hanging="360"/>
      </w:pPr>
      <w:rPr>
        <w:rFonts w:ascii="Poppins Light" w:eastAsiaTheme="minorHAnsi" w:hAnsi="Poppins Light" w:cs="Poppins Ligh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D46B2"/>
    <w:multiLevelType w:val="multilevel"/>
    <w:tmpl w:val="DAF8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B90B08"/>
    <w:multiLevelType w:val="multilevel"/>
    <w:tmpl w:val="472E1A3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1F2270B"/>
    <w:multiLevelType w:val="multilevel"/>
    <w:tmpl w:val="CFEC3D8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15CAA"/>
    <w:multiLevelType w:val="multilevel"/>
    <w:tmpl w:val="93EC2D6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33023"/>
    <w:multiLevelType w:val="multilevel"/>
    <w:tmpl w:val="1E608D62"/>
    <w:lvl w:ilvl="0">
      <w:start w:val="1"/>
      <w:numFmt w:val="lowerRoman"/>
      <w:lvlText w:val="(%1)"/>
      <w:lvlJc w:val="left"/>
      <w:pPr>
        <w:tabs>
          <w:tab w:val="num" w:pos="720"/>
        </w:tabs>
        <w:ind w:left="720" w:hanging="360"/>
      </w:pPr>
      <w:rPr>
        <w:rFonts w:ascii="Poppins Light" w:eastAsiaTheme="minorHAnsi" w:hAnsi="Poppins Light" w:cs="Poppins Ligh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32E94"/>
    <w:multiLevelType w:val="multilevel"/>
    <w:tmpl w:val="4166595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57504"/>
    <w:multiLevelType w:val="hybridMultilevel"/>
    <w:tmpl w:val="3036D324"/>
    <w:lvl w:ilvl="0" w:tplc="FFFFFFFF">
      <w:start w:val="1"/>
      <w:numFmt w:val="lowerRoman"/>
      <w:lvlText w:val="%1."/>
      <w:lvlJc w:val="righ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57385464"/>
    <w:multiLevelType w:val="hybridMultilevel"/>
    <w:tmpl w:val="8C02AC84"/>
    <w:lvl w:ilvl="0" w:tplc="6228057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9931386"/>
    <w:multiLevelType w:val="hybridMultilevel"/>
    <w:tmpl w:val="B406E406"/>
    <w:lvl w:ilvl="0" w:tplc="3D9293E8">
      <w:start w:val="1"/>
      <w:numFmt w:val="lowerRoman"/>
      <w:lvlText w:val="%1."/>
      <w:lvlJc w:val="right"/>
      <w:pPr>
        <w:ind w:left="1800" w:hanging="360"/>
      </w:pPr>
      <w:rPr>
        <w:b w:val="0"/>
        <w:bCs w:val="0"/>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7" w15:restartNumberingAfterBreak="0">
    <w:nsid w:val="5AFB0CE1"/>
    <w:multiLevelType w:val="multilevel"/>
    <w:tmpl w:val="979A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E51E5"/>
    <w:multiLevelType w:val="hybridMultilevel"/>
    <w:tmpl w:val="191EE52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E4D4FF7"/>
    <w:multiLevelType w:val="hybridMultilevel"/>
    <w:tmpl w:val="D23267BC"/>
    <w:lvl w:ilvl="0" w:tplc="6788394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376EBD"/>
    <w:multiLevelType w:val="multilevel"/>
    <w:tmpl w:val="1E1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E16C4"/>
    <w:multiLevelType w:val="multilevel"/>
    <w:tmpl w:val="3626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E05F1A"/>
    <w:multiLevelType w:val="hybridMultilevel"/>
    <w:tmpl w:val="B77A662A"/>
    <w:lvl w:ilvl="0" w:tplc="F5B24806">
      <w:start w:val="1"/>
      <w:numFmt w:val="lowerLetter"/>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67609013">
    <w:abstractNumId w:val="18"/>
  </w:num>
  <w:num w:numId="2" w16cid:durableId="1722509317">
    <w:abstractNumId w:val="5"/>
  </w:num>
  <w:num w:numId="3" w16cid:durableId="512229535">
    <w:abstractNumId w:val="27"/>
  </w:num>
  <w:num w:numId="4" w16cid:durableId="274022247">
    <w:abstractNumId w:val="31"/>
  </w:num>
  <w:num w:numId="5" w16cid:durableId="590311549">
    <w:abstractNumId w:val="2"/>
  </w:num>
  <w:num w:numId="6" w16cid:durableId="1682589655">
    <w:abstractNumId w:val="14"/>
  </w:num>
  <w:num w:numId="7" w16cid:durableId="830294254">
    <w:abstractNumId w:val="21"/>
  </w:num>
  <w:num w:numId="8" w16cid:durableId="1665426542">
    <w:abstractNumId w:val="3"/>
  </w:num>
  <w:num w:numId="9" w16cid:durableId="1982684466">
    <w:abstractNumId w:val="6"/>
  </w:num>
  <w:num w:numId="10" w16cid:durableId="1800997947">
    <w:abstractNumId w:val="4"/>
  </w:num>
  <w:num w:numId="11" w16cid:durableId="372268088">
    <w:abstractNumId w:val="20"/>
  </w:num>
  <w:num w:numId="12" w16cid:durableId="1005742413">
    <w:abstractNumId w:val="7"/>
  </w:num>
  <w:num w:numId="13" w16cid:durableId="1002009913">
    <w:abstractNumId w:val="0"/>
  </w:num>
  <w:num w:numId="14" w16cid:durableId="1928149502">
    <w:abstractNumId w:val="23"/>
  </w:num>
  <w:num w:numId="15" w16cid:durableId="1688870631">
    <w:abstractNumId w:val="25"/>
  </w:num>
  <w:num w:numId="16" w16cid:durableId="1959681512">
    <w:abstractNumId w:val="19"/>
  </w:num>
  <w:num w:numId="17" w16cid:durableId="1885828663">
    <w:abstractNumId w:val="28"/>
  </w:num>
  <w:num w:numId="18" w16cid:durableId="194389510">
    <w:abstractNumId w:val="32"/>
  </w:num>
  <w:num w:numId="19" w16cid:durableId="1894000520">
    <w:abstractNumId w:val="26"/>
  </w:num>
  <w:num w:numId="20" w16cid:durableId="1559392641">
    <w:abstractNumId w:val="9"/>
  </w:num>
  <w:num w:numId="21" w16cid:durableId="1951426703">
    <w:abstractNumId w:val="24"/>
  </w:num>
  <w:num w:numId="22" w16cid:durableId="958804822">
    <w:abstractNumId w:val="29"/>
  </w:num>
  <w:num w:numId="23" w16cid:durableId="1994529223">
    <w:abstractNumId w:val="15"/>
  </w:num>
  <w:num w:numId="24" w16cid:durableId="1530340633">
    <w:abstractNumId w:val="12"/>
  </w:num>
  <w:num w:numId="25" w16cid:durableId="1782072802">
    <w:abstractNumId w:val="16"/>
  </w:num>
  <w:num w:numId="26" w16cid:durableId="1320768954">
    <w:abstractNumId w:val="17"/>
  </w:num>
  <w:num w:numId="27" w16cid:durableId="1584484100">
    <w:abstractNumId w:val="30"/>
  </w:num>
  <w:num w:numId="28" w16cid:durableId="1634796097">
    <w:abstractNumId w:val="22"/>
  </w:num>
  <w:num w:numId="29" w16cid:durableId="847712179">
    <w:abstractNumId w:val="1"/>
  </w:num>
  <w:num w:numId="30" w16cid:durableId="604920459">
    <w:abstractNumId w:val="11"/>
  </w:num>
  <w:num w:numId="31" w16cid:durableId="1580484535">
    <w:abstractNumId w:val="8"/>
  </w:num>
  <w:num w:numId="32" w16cid:durableId="655954553">
    <w:abstractNumId w:val="13"/>
  </w:num>
  <w:num w:numId="33" w16cid:durableId="12919327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EAC"/>
    <w:rsid w:val="00002A50"/>
    <w:rsid w:val="00004A08"/>
    <w:rsid w:val="00005D91"/>
    <w:rsid w:val="00010AD8"/>
    <w:rsid w:val="0001258F"/>
    <w:rsid w:val="00012B70"/>
    <w:rsid w:val="000157BF"/>
    <w:rsid w:val="0002319F"/>
    <w:rsid w:val="00026685"/>
    <w:rsid w:val="0003222A"/>
    <w:rsid w:val="00032578"/>
    <w:rsid w:val="00034657"/>
    <w:rsid w:val="000410A5"/>
    <w:rsid w:val="00041936"/>
    <w:rsid w:val="00045A93"/>
    <w:rsid w:val="00046B61"/>
    <w:rsid w:val="00052000"/>
    <w:rsid w:val="000526D6"/>
    <w:rsid w:val="00060974"/>
    <w:rsid w:val="000655CE"/>
    <w:rsid w:val="00071E85"/>
    <w:rsid w:val="00075D5B"/>
    <w:rsid w:val="000768D4"/>
    <w:rsid w:val="00080F6D"/>
    <w:rsid w:val="00084317"/>
    <w:rsid w:val="00084EE8"/>
    <w:rsid w:val="000852AD"/>
    <w:rsid w:val="00086817"/>
    <w:rsid w:val="00087731"/>
    <w:rsid w:val="00090486"/>
    <w:rsid w:val="0009573D"/>
    <w:rsid w:val="000A1C70"/>
    <w:rsid w:val="000A5591"/>
    <w:rsid w:val="000B1C0E"/>
    <w:rsid w:val="000B3352"/>
    <w:rsid w:val="000B794C"/>
    <w:rsid w:val="000C1C49"/>
    <w:rsid w:val="000C2451"/>
    <w:rsid w:val="000C2F41"/>
    <w:rsid w:val="000C433E"/>
    <w:rsid w:val="000D2033"/>
    <w:rsid w:val="000D37AF"/>
    <w:rsid w:val="000D7FE5"/>
    <w:rsid w:val="000E06AF"/>
    <w:rsid w:val="000E375A"/>
    <w:rsid w:val="000F1076"/>
    <w:rsid w:val="000F2201"/>
    <w:rsid w:val="000F3F0F"/>
    <w:rsid w:val="000F5C6F"/>
    <w:rsid w:val="000F7866"/>
    <w:rsid w:val="00100631"/>
    <w:rsid w:val="00103A8D"/>
    <w:rsid w:val="00104B6D"/>
    <w:rsid w:val="001054FC"/>
    <w:rsid w:val="00112034"/>
    <w:rsid w:val="00114352"/>
    <w:rsid w:val="00115DA8"/>
    <w:rsid w:val="0011710D"/>
    <w:rsid w:val="00122694"/>
    <w:rsid w:val="00136554"/>
    <w:rsid w:val="0014124F"/>
    <w:rsid w:val="00144C0C"/>
    <w:rsid w:val="00147022"/>
    <w:rsid w:val="00147CD1"/>
    <w:rsid w:val="00151E99"/>
    <w:rsid w:val="00153D9A"/>
    <w:rsid w:val="00155BEE"/>
    <w:rsid w:val="0016581D"/>
    <w:rsid w:val="00165E9F"/>
    <w:rsid w:val="00171E5E"/>
    <w:rsid w:val="00172709"/>
    <w:rsid w:val="00172710"/>
    <w:rsid w:val="00181096"/>
    <w:rsid w:val="001826DA"/>
    <w:rsid w:val="001A4AD5"/>
    <w:rsid w:val="001B099C"/>
    <w:rsid w:val="001B4203"/>
    <w:rsid w:val="001B622B"/>
    <w:rsid w:val="001C0911"/>
    <w:rsid w:val="001C40B1"/>
    <w:rsid w:val="001D0FFE"/>
    <w:rsid w:val="001D7B6D"/>
    <w:rsid w:val="001E552C"/>
    <w:rsid w:val="001E7581"/>
    <w:rsid w:val="001F193B"/>
    <w:rsid w:val="00204502"/>
    <w:rsid w:val="0021253A"/>
    <w:rsid w:val="0022236C"/>
    <w:rsid w:val="00225D73"/>
    <w:rsid w:val="0022682E"/>
    <w:rsid w:val="00231490"/>
    <w:rsid w:val="00237602"/>
    <w:rsid w:val="00240726"/>
    <w:rsid w:val="002462B6"/>
    <w:rsid w:val="002479EA"/>
    <w:rsid w:val="002527A1"/>
    <w:rsid w:val="00261E91"/>
    <w:rsid w:val="002624C4"/>
    <w:rsid w:val="0026642F"/>
    <w:rsid w:val="0026671D"/>
    <w:rsid w:val="002677F1"/>
    <w:rsid w:val="00271AB3"/>
    <w:rsid w:val="00280896"/>
    <w:rsid w:val="00282648"/>
    <w:rsid w:val="00285F85"/>
    <w:rsid w:val="00286306"/>
    <w:rsid w:val="00286A93"/>
    <w:rsid w:val="00287BA4"/>
    <w:rsid w:val="00290D5F"/>
    <w:rsid w:val="00296AE5"/>
    <w:rsid w:val="002A2A95"/>
    <w:rsid w:val="002A337E"/>
    <w:rsid w:val="002B1124"/>
    <w:rsid w:val="002B3288"/>
    <w:rsid w:val="002B3B3A"/>
    <w:rsid w:val="002B5BB1"/>
    <w:rsid w:val="002C154B"/>
    <w:rsid w:val="002C30D2"/>
    <w:rsid w:val="002C3907"/>
    <w:rsid w:val="002C78C0"/>
    <w:rsid w:val="002D0674"/>
    <w:rsid w:val="002D0A83"/>
    <w:rsid w:val="002D0EAC"/>
    <w:rsid w:val="002D1C16"/>
    <w:rsid w:val="002D3306"/>
    <w:rsid w:val="002E49EF"/>
    <w:rsid w:val="002E67AC"/>
    <w:rsid w:val="002F0BED"/>
    <w:rsid w:val="002F2B6D"/>
    <w:rsid w:val="002F3A4A"/>
    <w:rsid w:val="002F4CC3"/>
    <w:rsid w:val="002F5C7E"/>
    <w:rsid w:val="002F69D5"/>
    <w:rsid w:val="002F7BB5"/>
    <w:rsid w:val="00300DB7"/>
    <w:rsid w:val="00307010"/>
    <w:rsid w:val="00310DF6"/>
    <w:rsid w:val="003118C0"/>
    <w:rsid w:val="0031715B"/>
    <w:rsid w:val="00320382"/>
    <w:rsid w:val="0032297D"/>
    <w:rsid w:val="00322A4F"/>
    <w:rsid w:val="00322F69"/>
    <w:rsid w:val="00327772"/>
    <w:rsid w:val="003400F8"/>
    <w:rsid w:val="00340DBE"/>
    <w:rsid w:val="00345129"/>
    <w:rsid w:val="0035155B"/>
    <w:rsid w:val="00351F4E"/>
    <w:rsid w:val="003521ED"/>
    <w:rsid w:val="003523EB"/>
    <w:rsid w:val="00360630"/>
    <w:rsid w:val="00364DED"/>
    <w:rsid w:val="00366224"/>
    <w:rsid w:val="00376F15"/>
    <w:rsid w:val="003856C3"/>
    <w:rsid w:val="00391C61"/>
    <w:rsid w:val="00393EB3"/>
    <w:rsid w:val="003A03FC"/>
    <w:rsid w:val="003A0F21"/>
    <w:rsid w:val="003A2AC7"/>
    <w:rsid w:val="003A708D"/>
    <w:rsid w:val="003A7726"/>
    <w:rsid w:val="003B0BF9"/>
    <w:rsid w:val="003B1889"/>
    <w:rsid w:val="003B6553"/>
    <w:rsid w:val="003C1C23"/>
    <w:rsid w:val="003C2A39"/>
    <w:rsid w:val="003C3862"/>
    <w:rsid w:val="003C459C"/>
    <w:rsid w:val="003C737A"/>
    <w:rsid w:val="003D28F0"/>
    <w:rsid w:val="003D555B"/>
    <w:rsid w:val="003D6A78"/>
    <w:rsid w:val="003E1876"/>
    <w:rsid w:val="003E49B7"/>
    <w:rsid w:val="003E5973"/>
    <w:rsid w:val="003E6E56"/>
    <w:rsid w:val="003E7FFA"/>
    <w:rsid w:val="003F2EAB"/>
    <w:rsid w:val="003F60EB"/>
    <w:rsid w:val="003F774E"/>
    <w:rsid w:val="00407562"/>
    <w:rsid w:val="004112AF"/>
    <w:rsid w:val="004113EE"/>
    <w:rsid w:val="004121AB"/>
    <w:rsid w:val="00421109"/>
    <w:rsid w:val="0043148E"/>
    <w:rsid w:val="004315D3"/>
    <w:rsid w:val="004332DB"/>
    <w:rsid w:val="00433F05"/>
    <w:rsid w:val="00434A90"/>
    <w:rsid w:val="00441BCA"/>
    <w:rsid w:val="00446FB8"/>
    <w:rsid w:val="00450243"/>
    <w:rsid w:val="004518D1"/>
    <w:rsid w:val="0045632C"/>
    <w:rsid w:val="004603C3"/>
    <w:rsid w:val="00461BA8"/>
    <w:rsid w:val="00465811"/>
    <w:rsid w:val="00470C3F"/>
    <w:rsid w:val="004817C8"/>
    <w:rsid w:val="0048190E"/>
    <w:rsid w:val="00483522"/>
    <w:rsid w:val="00490F47"/>
    <w:rsid w:val="00493588"/>
    <w:rsid w:val="00493C31"/>
    <w:rsid w:val="00495E74"/>
    <w:rsid w:val="004A043F"/>
    <w:rsid w:val="004A7E36"/>
    <w:rsid w:val="004B10EF"/>
    <w:rsid w:val="004B5513"/>
    <w:rsid w:val="004B5A2B"/>
    <w:rsid w:val="004B5A76"/>
    <w:rsid w:val="004C2F3E"/>
    <w:rsid w:val="004C5861"/>
    <w:rsid w:val="004D0B21"/>
    <w:rsid w:val="004D7443"/>
    <w:rsid w:val="004E22D1"/>
    <w:rsid w:val="004F12BB"/>
    <w:rsid w:val="004F174F"/>
    <w:rsid w:val="00505CD6"/>
    <w:rsid w:val="00507A3A"/>
    <w:rsid w:val="00520966"/>
    <w:rsid w:val="00527032"/>
    <w:rsid w:val="00534808"/>
    <w:rsid w:val="00535E20"/>
    <w:rsid w:val="00537D1D"/>
    <w:rsid w:val="00541C30"/>
    <w:rsid w:val="00543C3F"/>
    <w:rsid w:val="0054559E"/>
    <w:rsid w:val="00545BF3"/>
    <w:rsid w:val="00561F5A"/>
    <w:rsid w:val="00562552"/>
    <w:rsid w:val="00563291"/>
    <w:rsid w:val="00563FC9"/>
    <w:rsid w:val="00566C2A"/>
    <w:rsid w:val="00571369"/>
    <w:rsid w:val="005748BD"/>
    <w:rsid w:val="005752AD"/>
    <w:rsid w:val="005761D4"/>
    <w:rsid w:val="005763F9"/>
    <w:rsid w:val="0058529C"/>
    <w:rsid w:val="0058764D"/>
    <w:rsid w:val="00587C17"/>
    <w:rsid w:val="00594BB0"/>
    <w:rsid w:val="005954B0"/>
    <w:rsid w:val="00597C89"/>
    <w:rsid w:val="005A11A7"/>
    <w:rsid w:val="005A46E5"/>
    <w:rsid w:val="005A5273"/>
    <w:rsid w:val="005A546A"/>
    <w:rsid w:val="005A5718"/>
    <w:rsid w:val="005B45C8"/>
    <w:rsid w:val="005B7866"/>
    <w:rsid w:val="005B7F96"/>
    <w:rsid w:val="005C3A7A"/>
    <w:rsid w:val="005D2954"/>
    <w:rsid w:val="005D4392"/>
    <w:rsid w:val="005E2445"/>
    <w:rsid w:val="005E648A"/>
    <w:rsid w:val="005E76A9"/>
    <w:rsid w:val="005F21C7"/>
    <w:rsid w:val="005F4720"/>
    <w:rsid w:val="005F49F5"/>
    <w:rsid w:val="00601A00"/>
    <w:rsid w:val="00606F4F"/>
    <w:rsid w:val="00614040"/>
    <w:rsid w:val="0062034F"/>
    <w:rsid w:val="006209FD"/>
    <w:rsid w:val="006233EB"/>
    <w:rsid w:val="00626AF3"/>
    <w:rsid w:val="00636529"/>
    <w:rsid w:val="006531A9"/>
    <w:rsid w:val="006533B2"/>
    <w:rsid w:val="006577BC"/>
    <w:rsid w:val="00663D10"/>
    <w:rsid w:val="0066437F"/>
    <w:rsid w:val="006708FD"/>
    <w:rsid w:val="00675714"/>
    <w:rsid w:val="006762E8"/>
    <w:rsid w:val="00676607"/>
    <w:rsid w:val="00692307"/>
    <w:rsid w:val="00694F6E"/>
    <w:rsid w:val="00696527"/>
    <w:rsid w:val="006A16ED"/>
    <w:rsid w:val="006A1714"/>
    <w:rsid w:val="006C2AE9"/>
    <w:rsid w:val="006C3F76"/>
    <w:rsid w:val="006C44E3"/>
    <w:rsid w:val="006D2225"/>
    <w:rsid w:val="006D3D52"/>
    <w:rsid w:val="006E3A74"/>
    <w:rsid w:val="006E7224"/>
    <w:rsid w:val="006F1A99"/>
    <w:rsid w:val="00705E3C"/>
    <w:rsid w:val="00720C51"/>
    <w:rsid w:val="00725D76"/>
    <w:rsid w:val="00726A24"/>
    <w:rsid w:val="00726BD4"/>
    <w:rsid w:val="00731D4F"/>
    <w:rsid w:val="00732999"/>
    <w:rsid w:val="007331F0"/>
    <w:rsid w:val="00733AE2"/>
    <w:rsid w:val="007340EE"/>
    <w:rsid w:val="0074093E"/>
    <w:rsid w:val="007430C5"/>
    <w:rsid w:val="00745F28"/>
    <w:rsid w:val="00753779"/>
    <w:rsid w:val="00771DB1"/>
    <w:rsid w:val="007747E4"/>
    <w:rsid w:val="00774A8B"/>
    <w:rsid w:val="00775A08"/>
    <w:rsid w:val="00775B2C"/>
    <w:rsid w:val="007804E5"/>
    <w:rsid w:val="007836DC"/>
    <w:rsid w:val="007851F1"/>
    <w:rsid w:val="00786A56"/>
    <w:rsid w:val="0079139D"/>
    <w:rsid w:val="00791A8D"/>
    <w:rsid w:val="00793737"/>
    <w:rsid w:val="00793AEC"/>
    <w:rsid w:val="00797879"/>
    <w:rsid w:val="007A2596"/>
    <w:rsid w:val="007A5D8F"/>
    <w:rsid w:val="007B5670"/>
    <w:rsid w:val="007C0FED"/>
    <w:rsid w:val="007C7F42"/>
    <w:rsid w:val="007D143A"/>
    <w:rsid w:val="007E656C"/>
    <w:rsid w:val="007F339B"/>
    <w:rsid w:val="007F34A0"/>
    <w:rsid w:val="00801343"/>
    <w:rsid w:val="00801BB8"/>
    <w:rsid w:val="008036B9"/>
    <w:rsid w:val="00807FB5"/>
    <w:rsid w:val="0081134A"/>
    <w:rsid w:val="008176FD"/>
    <w:rsid w:val="008230AD"/>
    <w:rsid w:val="008246DE"/>
    <w:rsid w:val="00825288"/>
    <w:rsid w:val="00826117"/>
    <w:rsid w:val="0082766B"/>
    <w:rsid w:val="00827B08"/>
    <w:rsid w:val="008312A5"/>
    <w:rsid w:val="00834FF1"/>
    <w:rsid w:val="0083503F"/>
    <w:rsid w:val="00836BCF"/>
    <w:rsid w:val="00841A31"/>
    <w:rsid w:val="00843B57"/>
    <w:rsid w:val="00844072"/>
    <w:rsid w:val="0084746D"/>
    <w:rsid w:val="00853208"/>
    <w:rsid w:val="008550FE"/>
    <w:rsid w:val="00857798"/>
    <w:rsid w:val="008651A6"/>
    <w:rsid w:val="0087236B"/>
    <w:rsid w:val="00872CBA"/>
    <w:rsid w:val="0087489A"/>
    <w:rsid w:val="00874CDC"/>
    <w:rsid w:val="00883F46"/>
    <w:rsid w:val="00884CB3"/>
    <w:rsid w:val="00885367"/>
    <w:rsid w:val="00894CD4"/>
    <w:rsid w:val="0089784B"/>
    <w:rsid w:val="008979B6"/>
    <w:rsid w:val="008A6D56"/>
    <w:rsid w:val="008B1A3C"/>
    <w:rsid w:val="008B21F9"/>
    <w:rsid w:val="008B72EA"/>
    <w:rsid w:val="008B75ED"/>
    <w:rsid w:val="008C2641"/>
    <w:rsid w:val="008C5EB1"/>
    <w:rsid w:val="008D3613"/>
    <w:rsid w:val="008D580D"/>
    <w:rsid w:val="008D7F3C"/>
    <w:rsid w:val="008E41EE"/>
    <w:rsid w:val="008E71C7"/>
    <w:rsid w:val="008E744A"/>
    <w:rsid w:val="008F6822"/>
    <w:rsid w:val="008F7B1D"/>
    <w:rsid w:val="009014FC"/>
    <w:rsid w:val="00904C60"/>
    <w:rsid w:val="009058C2"/>
    <w:rsid w:val="009152CC"/>
    <w:rsid w:val="0092109A"/>
    <w:rsid w:val="009328A3"/>
    <w:rsid w:val="00943F1D"/>
    <w:rsid w:val="00953638"/>
    <w:rsid w:val="009640B5"/>
    <w:rsid w:val="00964420"/>
    <w:rsid w:val="00964CE4"/>
    <w:rsid w:val="0096671B"/>
    <w:rsid w:val="00966D5F"/>
    <w:rsid w:val="0097111E"/>
    <w:rsid w:val="00972A24"/>
    <w:rsid w:val="009775DE"/>
    <w:rsid w:val="00983FE5"/>
    <w:rsid w:val="00985B73"/>
    <w:rsid w:val="0099152F"/>
    <w:rsid w:val="00995E05"/>
    <w:rsid w:val="009A3B42"/>
    <w:rsid w:val="009A6021"/>
    <w:rsid w:val="009B0BC1"/>
    <w:rsid w:val="009B6B72"/>
    <w:rsid w:val="009C34FE"/>
    <w:rsid w:val="009D1657"/>
    <w:rsid w:val="009D4686"/>
    <w:rsid w:val="009D53C6"/>
    <w:rsid w:val="009F0A6B"/>
    <w:rsid w:val="009F10E2"/>
    <w:rsid w:val="009F39DF"/>
    <w:rsid w:val="00A008F2"/>
    <w:rsid w:val="00A02549"/>
    <w:rsid w:val="00A0347E"/>
    <w:rsid w:val="00A04910"/>
    <w:rsid w:val="00A05E03"/>
    <w:rsid w:val="00A10953"/>
    <w:rsid w:val="00A168F5"/>
    <w:rsid w:val="00A200AB"/>
    <w:rsid w:val="00A24EAA"/>
    <w:rsid w:val="00A25723"/>
    <w:rsid w:val="00A270D4"/>
    <w:rsid w:val="00A30781"/>
    <w:rsid w:val="00A37269"/>
    <w:rsid w:val="00A40D82"/>
    <w:rsid w:val="00A43B3B"/>
    <w:rsid w:val="00A44357"/>
    <w:rsid w:val="00A444DF"/>
    <w:rsid w:val="00A514BE"/>
    <w:rsid w:val="00A52744"/>
    <w:rsid w:val="00A53501"/>
    <w:rsid w:val="00A53D34"/>
    <w:rsid w:val="00A65FA7"/>
    <w:rsid w:val="00A71E3A"/>
    <w:rsid w:val="00A73265"/>
    <w:rsid w:val="00A73D1A"/>
    <w:rsid w:val="00A8193E"/>
    <w:rsid w:val="00A835D3"/>
    <w:rsid w:val="00A86469"/>
    <w:rsid w:val="00A87926"/>
    <w:rsid w:val="00A87BD6"/>
    <w:rsid w:val="00A906CB"/>
    <w:rsid w:val="00A92635"/>
    <w:rsid w:val="00A94EC1"/>
    <w:rsid w:val="00AA4F66"/>
    <w:rsid w:val="00AB04DB"/>
    <w:rsid w:val="00AB10D6"/>
    <w:rsid w:val="00AB2664"/>
    <w:rsid w:val="00AB38CB"/>
    <w:rsid w:val="00AB401B"/>
    <w:rsid w:val="00AB6CE1"/>
    <w:rsid w:val="00AC5E40"/>
    <w:rsid w:val="00AD7646"/>
    <w:rsid w:val="00AE2166"/>
    <w:rsid w:val="00AE28AB"/>
    <w:rsid w:val="00AE3288"/>
    <w:rsid w:val="00AF0134"/>
    <w:rsid w:val="00AF57B3"/>
    <w:rsid w:val="00B03988"/>
    <w:rsid w:val="00B111B4"/>
    <w:rsid w:val="00B11A10"/>
    <w:rsid w:val="00B22CCB"/>
    <w:rsid w:val="00B4381B"/>
    <w:rsid w:val="00B43ABF"/>
    <w:rsid w:val="00B52E19"/>
    <w:rsid w:val="00B701B9"/>
    <w:rsid w:val="00B748E7"/>
    <w:rsid w:val="00B76957"/>
    <w:rsid w:val="00B9075C"/>
    <w:rsid w:val="00B91796"/>
    <w:rsid w:val="00B93B01"/>
    <w:rsid w:val="00B9684E"/>
    <w:rsid w:val="00B969C3"/>
    <w:rsid w:val="00BA1A20"/>
    <w:rsid w:val="00BA301D"/>
    <w:rsid w:val="00BA603E"/>
    <w:rsid w:val="00BA7749"/>
    <w:rsid w:val="00BB3CFF"/>
    <w:rsid w:val="00BB5B50"/>
    <w:rsid w:val="00BB7675"/>
    <w:rsid w:val="00BC15A5"/>
    <w:rsid w:val="00BC4ABF"/>
    <w:rsid w:val="00BD2395"/>
    <w:rsid w:val="00BD4CF4"/>
    <w:rsid w:val="00BD4FE8"/>
    <w:rsid w:val="00BD5C5C"/>
    <w:rsid w:val="00BD6A19"/>
    <w:rsid w:val="00BD75A4"/>
    <w:rsid w:val="00BD7970"/>
    <w:rsid w:val="00BE15E9"/>
    <w:rsid w:val="00BE23BB"/>
    <w:rsid w:val="00BE32E8"/>
    <w:rsid w:val="00BE524A"/>
    <w:rsid w:val="00BE590C"/>
    <w:rsid w:val="00BF07B4"/>
    <w:rsid w:val="00BF5247"/>
    <w:rsid w:val="00BF6778"/>
    <w:rsid w:val="00C00525"/>
    <w:rsid w:val="00C00BB3"/>
    <w:rsid w:val="00C178B1"/>
    <w:rsid w:val="00C321E4"/>
    <w:rsid w:val="00C403D7"/>
    <w:rsid w:val="00C414E3"/>
    <w:rsid w:val="00C423A7"/>
    <w:rsid w:val="00C452DA"/>
    <w:rsid w:val="00C45B95"/>
    <w:rsid w:val="00C4748E"/>
    <w:rsid w:val="00C514F5"/>
    <w:rsid w:val="00C54863"/>
    <w:rsid w:val="00C54946"/>
    <w:rsid w:val="00C551F8"/>
    <w:rsid w:val="00C5759D"/>
    <w:rsid w:val="00C72701"/>
    <w:rsid w:val="00C72914"/>
    <w:rsid w:val="00C73BB3"/>
    <w:rsid w:val="00C77DC8"/>
    <w:rsid w:val="00C83D15"/>
    <w:rsid w:val="00C87CA7"/>
    <w:rsid w:val="00C97A33"/>
    <w:rsid w:val="00C97F32"/>
    <w:rsid w:val="00CA491B"/>
    <w:rsid w:val="00CB6451"/>
    <w:rsid w:val="00CC357E"/>
    <w:rsid w:val="00CC359F"/>
    <w:rsid w:val="00CD3295"/>
    <w:rsid w:val="00CD3D63"/>
    <w:rsid w:val="00CD4BBC"/>
    <w:rsid w:val="00CD4E6E"/>
    <w:rsid w:val="00CD67C5"/>
    <w:rsid w:val="00CE04B8"/>
    <w:rsid w:val="00CE7F86"/>
    <w:rsid w:val="00CF4FF3"/>
    <w:rsid w:val="00CF7C2B"/>
    <w:rsid w:val="00D012B1"/>
    <w:rsid w:val="00D01C99"/>
    <w:rsid w:val="00D04951"/>
    <w:rsid w:val="00D057ED"/>
    <w:rsid w:val="00D06584"/>
    <w:rsid w:val="00D077F5"/>
    <w:rsid w:val="00D107FD"/>
    <w:rsid w:val="00D10852"/>
    <w:rsid w:val="00D10E76"/>
    <w:rsid w:val="00D10EEB"/>
    <w:rsid w:val="00D11ADE"/>
    <w:rsid w:val="00D12DBA"/>
    <w:rsid w:val="00D12EA0"/>
    <w:rsid w:val="00D1720F"/>
    <w:rsid w:val="00D17964"/>
    <w:rsid w:val="00D22B67"/>
    <w:rsid w:val="00D23BB8"/>
    <w:rsid w:val="00D241DB"/>
    <w:rsid w:val="00D34E4E"/>
    <w:rsid w:val="00D402A5"/>
    <w:rsid w:val="00D4092A"/>
    <w:rsid w:val="00D4225F"/>
    <w:rsid w:val="00D431AF"/>
    <w:rsid w:val="00D5384D"/>
    <w:rsid w:val="00D552A2"/>
    <w:rsid w:val="00D57D0B"/>
    <w:rsid w:val="00D6129A"/>
    <w:rsid w:val="00D61EB2"/>
    <w:rsid w:val="00D6507A"/>
    <w:rsid w:val="00D730F5"/>
    <w:rsid w:val="00D740B2"/>
    <w:rsid w:val="00D757D0"/>
    <w:rsid w:val="00D809D6"/>
    <w:rsid w:val="00D821A6"/>
    <w:rsid w:val="00DA058B"/>
    <w:rsid w:val="00DA0766"/>
    <w:rsid w:val="00DA6512"/>
    <w:rsid w:val="00DB07BF"/>
    <w:rsid w:val="00DB22F1"/>
    <w:rsid w:val="00DB74FD"/>
    <w:rsid w:val="00DC1148"/>
    <w:rsid w:val="00DC12CB"/>
    <w:rsid w:val="00DC5E5A"/>
    <w:rsid w:val="00DD4914"/>
    <w:rsid w:val="00DD4F1C"/>
    <w:rsid w:val="00DE3284"/>
    <w:rsid w:val="00DE38DE"/>
    <w:rsid w:val="00DE3933"/>
    <w:rsid w:val="00DE5042"/>
    <w:rsid w:val="00DE56CD"/>
    <w:rsid w:val="00DE74B9"/>
    <w:rsid w:val="00E03858"/>
    <w:rsid w:val="00E068E5"/>
    <w:rsid w:val="00E07230"/>
    <w:rsid w:val="00E1054B"/>
    <w:rsid w:val="00E14C42"/>
    <w:rsid w:val="00E16D29"/>
    <w:rsid w:val="00E24D69"/>
    <w:rsid w:val="00E25106"/>
    <w:rsid w:val="00E259F7"/>
    <w:rsid w:val="00E273FB"/>
    <w:rsid w:val="00E3152D"/>
    <w:rsid w:val="00E32E3C"/>
    <w:rsid w:val="00E33BEC"/>
    <w:rsid w:val="00E371B3"/>
    <w:rsid w:val="00E40A1B"/>
    <w:rsid w:val="00E4212C"/>
    <w:rsid w:val="00E42CD9"/>
    <w:rsid w:val="00E44F4A"/>
    <w:rsid w:val="00E53D73"/>
    <w:rsid w:val="00E554F1"/>
    <w:rsid w:val="00E56A70"/>
    <w:rsid w:val="00E620CC"/>
    <w:rsid w:val="00E62273"/>
    <w:rsid w:val="00E65569"/>
    <w:rsid w:val="00E6576D"/>
    <w:rsid w:val="00E67E6E"/>
    <w:rsid w:val="00E70A94"/>
    <w:rsid w:val="00E70C1A"/>
    <w:rsid w:val="00E71ACD"/>
    <w:rsid w:val="00E723A5"/>
    <w:rsid w:val="00E72EAC"/>
    <w:rsid w:val="00E80227"/>
    <w:rsid w:val="00E83A77"/>
    <w:rsid w:val="00E93181"/>
    <w:rsid w:val="00E97189"/>
    <w:rsid w:val="00E97CA1"/>
    <w:rsid w:val="00EA1171"/>
    <w:rsid w:val="00EA3C2F"/>
    <w:rsid w:val="00EA45D6"/>
    <w:rsid w:val="00EA4839"/>
    <w:rsid w:val="00EA603A"/>
    <w:rsid w:val="00EB1900"/>
    <w:rsid w:val="00EB4B8B"/>
    <w:rsid w:val="00ED15F7"/>
    <w:rsid w:val="00EE08B9"/>
    <w:rsid w:val="00EE2A22"/>
    <w:rsid w:val="00EE46BE"/>
    <w:rsid w:val="00EE5214"/>
    <w:rsid w:val="00EE5DEF"/>
    <w:rsid w:val="00EF1FF6"/>
    <w:rsid w:val="00EF26B6"/>
    <w:rsid w:val="00EF77F4"/>
    <w:rsid w:val="00F00E04"/>
    <w:rsid w:val="00F02E6F"/>
    <w:rsid w:val="00F1313C"/>
    <w:rsid w:val="00F17DB7"/>
    <w:rsid w:val="00F30F0F"/>
    <w:rsid w:val="00F30F3A"/>
    <w:rsid w:val="00F312EC"/>
    <w:rsid w:val="00F32730"/>
    <w:rsid w:val="00F404FA"/>
    <w:rsid w:val="00F414B5"/>
    <w:rsid w:val="00F43ABD"/>
    <w:rsid w:val="00F44255"/>
    <w:rsid w:val="00F45016"/>
    <w:rsid w:val="00F51908"/>
    <w:rsid w:val="00F55B89"/>
    <w:rsid w:val="00F5644F"/>
    <w:rsid w:val="00F67C64"/>
    <w:rsid w:val="00F743F0"/>
    <w:rsid w:val="00F81E1C"/>
    <w:rsid w:val="00F820D8"/>
    <w:rsid w:val="00F832B4"/>
    <w:rsid w:val="00F9192F"/>
    <w:rsid w:val="00F962E6"/>
    <w:rsid w:val="00FA0591"/>
    <w:rsid w:val="00FA1B8F"/>
    <w:rsid w:val="00FB01DB"/>
    <w:rsid w:val="00FB20BA"/>
    <w:rsid w:val="00FB2232"/>
    <w:rsid w:val="00FB4A54"/>
    <w:rsid w:val="00FB6937"/>
    <w:rsid w:val="00FC0481"/>
    <w:rsid w:val="00FC0BDC"/>
    <w:rsid w:val="00FC2CC0"/>
    <w:rsid w:val="00FD1166"/>
    <w:rsid w:val="00FD585C"/>
    <w:rsid w:val="00FD6ACC"/>
    <w:rsid w:val="00FD6B8F"/>
    <w:rsid w:val="00FE5768"/>
    <w:rsid w:val="00FF07C3"/>
    <w:rsid w:val="00FF5AEE"/>
    <w:rsid w:val="00FF63F4"/>
    <w:rsid w:val="00FF65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6387"/>
  <w15:chartTrackingRefBased/>
  <w15:docId w15:val="{CF2DE13D-1016-4E4F-909E-D03E1639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Light" w:eastAsiaTheme="minorHAnsi" w:hAnsi="Poppins Light" w:cstheme="minorBidi"/>
        <w:kern w:val="2"/>
        <w:sz w:val="21"/>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E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E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E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2E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2E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2E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2E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E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E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2E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2E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2E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2E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2E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2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E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E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2EAC"/>
    <w:pPr>
      <w:spacing w:before="160"/>
      <w:jc w:val="center"/>
    </w:pPr>
    <w:rPr>
      <w:i/>
      <w:iCs/>
      <w:color w:val="404040" w:themeColor="text1" w:themeTint="BF"/>
    </w:rPr>
  </w:style>
  <w:style w:type="character" w:customStyle="1" w:styleId="QuoteChar">
    <w:name w:val="Quote Char"/>
    <w:basedOn w:val="DefaultParagraphFont"/>
    <w:link w:val="Quote"/>
    <w:uiPriority w:val="29"/>
    <w:rsid w:val="00E72EAC"/>
    <w:rPr>
      <w:i/>
      <w:iCs/>
      <w:color w:val="404040" w:themeColor="text1" w:themeTint="BF"/>
    </w:rPr>
  </w:style>
  <w:style w:type="paragraph" w:styleId="ListParagraph">
    <w:name w:val="List Paragraph"/>
    <w:basedOn w:val="Normal"/>
    <w:uiPriority w:val="34"/>
    <w:qFormat/>
    <w:rsid w:val="00E72EAC"/>
    <w:pPr>
      <w:ind w:left="720"/>
      <w:contextualSpacing/>
    </w:pPr>
  </w:style>
  <w:style w:type="character" w:styleId="IntenseEmphasis">
    <w:name w:val="Intense Emphasis"/>
    <w:basedOn w:val="DefaultParagraphFont"/>
    <w:uiPriority w:val="21"/>
    <w:qFormat/>
    <w:rsid w:val="00E72EAC"/>
    <w:rPr>
      <w:i/>
      <w:iCs/>
      <w:color w:val="0F4761" w:themeColor="accent1" w:themeShade="BF"/>
    </w:rPr>
  </w:style>
  <w:style w:type="paragraph" w:styleId="IntenseQuote">
    <w:name w:val="Intense Quote"/>
    <w:basedOn w:val="Normal"/>
    <w:next w:val="Normal"/>
    <w:link w:val="IntenseQuoteChar"/>
    <w:uiPriority w:val="30"/>
    <w:qFormat/>
    <w:rsid w:val="00E72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EAC"/>
    <w:rPr>
      <w:i/>
      <w:iCs/>
      <w:color w:val="0F4761" w:themeColor="accent1" w:themeShade="BF"/>
    </w:rPr>
  </w:style>
  <w:style w:type="character" w:styleId="IntenseReference">
    <w:name w:val="Intense Reference"/>
    <w:basedOn w:val="DefaultParagraphFont"/>
    <w:uiPriority w:val="32"/>
    <w:qFormat/>
    <w:rsid w:val="00E72EAC"/>
    <w:rPr>
      <w:b/>
      <w:bCs/>
      <w:smallCaps/>
      <w:color w:val="0F4761" w:themeColor="accent1" w:themeShade="BF"/>
      <w:spacing w:val="5"/>
    </w:rPr>
  </w:style>
  <w:style w:type="character" w:styleId="Hyperlink">
    <w:name w:val="Hyperlink"/>
    <w:basedOn w:val="DefaultParagraphFont"/>
    <w:uiPriority w:val="99"/>
    <w:unhideWhenUsed/>
    <w:rsid w:val="00A94EC1"/>
    <w:rPr>
      <w:color w:val="467886" w:themeColor="hyperlink"/>
      <w:u w:val="single"/>
    </w:rPr>
  </w:style>
  <w:style w:type="character" w:styleId="UnresolvedMention">
    <w:name w:val="Unresolved Mention"/>
    <w:basedOn w:val="DefaultParagraphFont"/>
    <w:uiPriority w:val="99"/>
    <w:semiHidden/>
    <w:unhideWhenUsed/>
    <w:rsid w:val="00A94EC1"/>
    <w:rPr>
      <w:color w:val="605E5C"/>
      <w:shd w:val="clear" w:color="auto" w:fill="E1DFDD"/>
    </w:rPr>
  </w:style>
  <w:style w:type="table" w:styleId="TableGrid">
    <w:name w:val="Table Grid"/>
    <w:basedOn w:val="TableNormal"/>
    <w:uiPriority w:val="39"/>
    <w:rsid w:val="00317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2B67"/>
    <w:rPr>
      <w:sz w:val="16"/>
      <w:szCs w:val="16"/>
    </w:rPr>
  </w:style>
  <w:style w:type="paragraph" w:styleId="CommentText">
    <w:name w:val="annotation text"/>
    <w:basedOn w:val="Normal"/>
    <w:link w:val="CommentTextChar"/>
    <w:uiPriority w:val="99"/>
    <w:unhideWhenUsed/>
    <w:rsid w:val="00D22B67"/>
    <w:pPr>
      <w:spacing w:line="240" w:lineRule="auto"/>
    </w:pPr>
    <w:rPr>
      <w:sz w:val="20"/>
      <w:szCs w:val="20"/>
    </w:rPr>
  </w:style>
  <w:style w:type="character" w:customStyle="1" w:styleId="CommentTextChar">
    <w:name w:val="Comment Text Char"/>
    <w:basedOn w:val="DefaultParagraphFont"/>
    <w:link w:val="CommentText"/>
    <w:uiPriority w:val="99"/>
    <w:rsid w:val="00D22B67"/>
    <w:rPr>
      <w:sz w:val="20"/>
      <w:szCs w:val="20"/>
    </w:rPr>
  </w:style>
  <w:style w:type="paragraph" w:styleId="CommentSubject">
    <w:name w:val="annotation subject"/>
    <w:basedOn w:val="CommentText"/>
    <w:next w:val="CommentText"/>
    <w:link w:val="CommentSubjectChar"/>
    <w:uiPriority w:val="99"/>
    <w:semiHidden/>
    <w:unhideWhenUsed/>
    <w:rsid w:val="00D22B67"/>
    <w:rPr>
      <w:b/>
      <w:bCs/>
    </w:rPr>
  </w:style>
  <w:style w:type="character" w:customStyle="1" w:styleId="CommentSubjectChar">
    <w:name w:val="Comment Subject Char"/>
    <w:basedOn w:val="CommentTextChar"/>
    <w:link w:val="CommentSubject"/>
    <w:uiPriority w:val="99"/>
    <w:semiHidden/>
    <w:rsid w:val="00D22B67"/>
    <w:rPr>
      <w:b/>
      <w:bCs/>
      <w:sz w:val="20"/>
      <w:szCs w:val="20"/>
    </w:rPr>
  </w:style>
  <w:style w:type="paragraph" w:styleId="Header">
    <w:name w:val="header"/>
    <w:basedOn w:val="Normal"/>
    <w:link w:val="HeaderChar"/>
    <w:uiPriority w:val="99"/>
    <w:unhideWhenUsed/>
    <w:rsid w:val="00B907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75C"/>
  </w:style>
  <w:style w:type="paragraph" w:styleId="Footer">
    <w:name w:val="footer"/>
    <w:basedOn w:val="Normal"/>
    <w:link w:val="FooterChar"/>
    <w:uiPriority w:val="99"/>
    <w:unhideWhenUsed/>
    <w:rsid w:val="00B907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75C"/>
  </w:style>
  <w:style w:type="paragraph" w:styleId="Revision">
    <w:name w:val="Revision"/>
    <w:hidden/>
    <w:uiPriority w:val="99"/>
    <w:semiHidden/>
    <w:rsid w:val="00112034"/>
    <w:pPr>
      <w:spacing w:after="0" w:line="240" w:lineRule="auto"/>
    </w:pPr>
  </w:style>
  <w:style w:type="paragraph" w:styleId="NormalWeb">
    <w:name w:val="Normal (Web)"/>
    <w:basedOn w:val="Normal"/>
    <w:uiPriority w:val="99"/>
    <w:semiHidden/>
    <w:unhideWhenUsed/>
    <w:rsid w:val="00A3726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C3092BAE0B134CBF07778496A0061E" ma:contentTypeVersion="15" ma:contentTypeDescription="Create a new document." ma:contentTypeScope="" ma:versionID="70a649153dd64946427b4583933214bf">
  <xsd:schema xmlns:xsd="http://www.w3.org/2001/XMLSchema" xmlns:xs="http://www.w3.org/2001/XMLSchema" xmlns:p="http://schemas.microsoft.com/office/2006/metadata/properties" xmlns:ns3="5d0eb872-d87e-46b5-a9f4-1bc1eeac72f3" xmlns:ns4="5f76ed40-0689-4197-83b3-43bac9eb220c" targetNamespace="http://schemas.microsoft.com/office/2006/metadata/properties" ma:root="true" ma:fieldsID="56246fc4f41ec13c7789a8e3ffd4f572" ns3:_="" ns4:_="">
    <xsd:import namespace="5d0eb872-d87e-46b5-a9f4-1bc1eeac72f3"/>
    <xsd:import namespace="5f76ed40-0689-4197-83b3-43bac9eb220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0eb872-d87e-46b5-a9f4-1bc1eeac72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76ed40-0689-4197-83b3-43bac9eb220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0eb872-d87e-46b5-a9f4-1bc1eeac72f3" xsi:nil="true"/>
  </documentManagement>
</p:properties>
</file>

<file path=customXml/itemProps1.xml><?xml version="1.0" encoding="utf-8"?>
<ds:datastoreItem xmlns:ds="http://schemas.openxmlformats.org/officeDocument/2006/customXml" ds:itemID="{F4294035-4298-4566-B138-8780D0B6F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0eb872-d87e-46b5-a9f4-1bc1eeac72f3"/>
    <ds:schemaRef ds:uri="5f76ed40-0689-4197-83b3-43bac9eb2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2BF22C-16E8-40F1-A63F-4AF6C76B4422}">
  <ds:schemaRefs>
    <ds:schemaRef ds:uri="http://schemas.microsoft.com/sharepoint/v3/contenttype/forms"/>
  </ds:schemaRefs>
</ds:datastoreItem>
</file>

<file path=customXml/itemProps3.xml><?xml version="1.0" encoding="utf-8"?>
<ds:datastoreItem xmlns:ds="http://schemas.openxmlformats.org/officeDocument/2006/customXml" ds:itemID="{25EF9130-4200-47BB-8C86-99C8EA57A971}">
  <ds:schemaRefs>
    <ds:schemaRef ds:uri="http://www.w3.org/XML/1998/namespace"/>
    <ds:schemaRef ds:uri="http://schemas.microsoft.com/office/2006/documentManagement/types"/>
    <ds:schemaRef ds:uri="5f76ed40-0689-4197-83b3-43bac9eb220c"/>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5d0eb872-d87e-46b5-a9f4-1bc1eeac72f3"/>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2772</Words>
  <Characters>14306</Characters>
  <Application>Microsoft Office Word</Application>
  <DocSecurity>0</DocSecurity>
  <Lines>529</Lines>
  <Paragraphs>156</Paragraphs>
  <ScaleCrop>false</ScaleCrop>
  <Company/>
  <LinksUpToDate>false</LinksUpToDate>
  <CharactersWithSpaces>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Etti &amp; Edu</dc:creator>
  <cp:keywords/>
  <dc:description/>
  <cp:lastModifiedBy>Jackson, Etti and Edu</cp:lastModifiedBy>
  <cp:revision>2</cp:revision>
  <dcterms:created xsi:type="dcterms:W3CDTF">2026-02-11T18:16:00Z</dcterms:created>
  <dcterms:modified xsi:type="dcterms:W3CDTF">2026-02-11T18:16:00Z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0x01010000C3092BAE0B134CBF07778496A0061E</vt:lpwstr>
  </property>
</Properties>
</file>