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pPr>
      <w:r>
        <w:rPr/>
        <w:t xml:space="preserve">Five things I learned moving USDM between Cardano and Midnight</w:t>
      </w:r>
    </w:p>
    <w:p>
      <w:pPr>
        <w:spacing w:after="280"/>
      </w:pPr>
      <w:r>
        <w:rPr>
          <w:i/>
        </w:rPr>
        <w:t xml:space="preserve">Notes from building a cross-chain USDM transfer app and a private invoice contract on Midnight. Enterprise addresses, explorer link rules, a node error code, and why a contract cannot hold USDM today.</w:t>
      </w:r>
    </w:p>
    <w:p>
      <w:pPr>
        <w:spacing w:after="160"/>
      </w:pPr>
      <w:r>
        <w:rPr/>
        <w:t xml:space="preserve">I built two things on VIA's USDM cross-chain transfers over the past two weeks:</w:t>
      </w:r>
    </w:p>
    <w:p>
      <w:pPr>
        <w:numPr>
          <w:ilvl w:val="0"/>
          <w:numId w:val="1"/>
        </w:numPr>
        <w:spacing w:after="60"/>
      </w:pPr>
      <w:r>
        <w:rPr>
          <w:b/>
        </w:rPr>
        <w:t xml:space="preserve">[Tender](https://github.com/tomiin/tender-usdm)</w:t>
      </w:r>
      <w:r>
        <w:rPr/>
        <w:t xml:space="preserve"> — a browser app that moves native USDM between Cardano Preprod and Midnight Preview, both directions, signed by the user's own wallets.</w:t>
      </w:r>
    </w:p>
    <w:p>
      <w:pPr>
        <w:numPr>
          <w:ilvl w:val="0"/>
          <w:numId w:val="1"/>
        </w:numPr>
        <w:spacing w:after="60"/>
      </w:pPr>
      <w:r>
        <w:rPr>
          <w:b/>
        </w:rPr>
        <w:t xml:space="preserve">[Privoice](https://github.com/tomiin/privoice)</w:t>
      </w:r>
      <w:r>
        <w:rPr/>
        <w:t xml:space="preserve"> — a private invoice contract in Compact, settling in USDM, deployed on Midnight Preview.</w:t>
      </w:r>
    </w:p>
    <w:p>
      <w:pPr>
        <w:spacing w:after="160"/>
      </w:pPr>
      <w:r>
        <w:rPr/>
        <w:t xml:space="preserve">Eight transfers landed. One contract deployed with four on-chain interactions. Along the way I hit five things that are either not in the docs or are in the docs in a form that does not warn you about the consequence.</w:t>
      </w:r>
    </w:p>
    <w:p>
      <w:pPr>
        <w:spacing w:after="160"/>
      </w:pPr>
      <w:r>
        <w:rPr/>
        <w:t xml:space="preserve">None of this is a criticism of VIA's documentation, which is good. It is the gap between "correctly specified" and "you will not guess this at 2am".</w:t>
      </w:r>
    </w:p>
    <w:p>
      <w:pPr>
        <w:pBdr>
          <w:bottom w:val="single" w:sz="6" w:color="BBBBBB"/>
        </w:pBdr>
        <w:spacing w:before="160" w:after="200"/>
      </w:pPr>
    </w:p>
    <w:p>
      <w:pPr>
        <w:pStyle w:val="Heading2"/>
      </w:pPr>
      <w:r>
        <w:rPr/>
        <w:t xml:space="preserve">1. Your USDM arrives at an address your wallet will not show you</w:t>
      </w:r>
    </w:p>
    <w:p>
      <w:pPr>
        <w:spacing w:after="160"/>
      </w:pPr>
      <w:r>
        <w:rPr/>
        <w:t xml:space="preserve">This one cost me a day, and I suspect it has cost other people their submissions.</w:t>
      </w:r>
    </w:p>
    <w:p>
      <w:pPr>
        <w:spacing w:after="160"/>
      </w:pPr>
      <w:r>
        <w:rPr/>
        <w:t xml:space="preserve">Send USDM from Midnight to Cardano and it will not appear in Lace. The balance does not move. The transfer looks like it failed. It did not fail — the money is at an address your wallet does not watch.</w:t>
      </w:r>
    </w:p>
    <w:p>
      <w:pPr>
        <w:spacing w:after="160"/>
      </w:pPr>
      <w:r>
        <w:rPr/>
        <w:t xml:space="preserve">Here is the mechanism, from VIA's own message spec. The VILR payload has fixed-width fields:</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3120"/>
        <w:gridCol w:w="3120"/>
        <w:gridCol w:w="3120"/>
      </w:tblGrid>
      <w:tr>
        <w:tc>
          <w:tcPr>
            <w:tcW w:w="3120" w:type="dxa"/>
            <w:shd w:val="clear" w:fill="EFEFEF"/>
          </w:tcPr>
          <w:p>
            <w:r>
              <w:rPr>
                <w:b/>
              </w:rPr>
              <w:t xml:space="preserve">Offset</w:t>
            </w:r>
          </w:p>
        </w:tc>
        <w:tc>
          <w:tcPr>
            <w:tcW w:w="3120" w:type="dxa"/>
            <w:shd w:val="clear" w:fill="EFEFEF"/>
          </w:tcPr>
          <w:p>
            <w:r>
              <w:rPr>
                <w:b/>
              </w:rPr>
              <w:t xml:space="preserve">Width</w:t>
            </w:r>
          </w:p>
        </w:tc>
        <w:tc>
          <w:tcPr>
            <w:tcW w:w="3120" w:type="dxa"/>
            <w:shd w:val="clear" w:fill="EFEFEF"/>
          </w:tcPr>
          <w:p>
            <w:r>
              <w:rPr>
                <w:b/>
              </w:rPr>
              <w:t xml:space="preserve">Field</w:t>
            </w:r>
          </w:p>
        </w:tc>
      </w:tr>
      <w:tr>
        <w:tc>
          <w:tcPr>
            <w:tcW w:w="3120" w:type="dxa"/>
          </w:tcPr>
          <w:p>
            <w:r>
              <w:rPr/>
              <w:t xml:space="preserve">76</w:t>
            </w:r>
          </w:p>
        </w:tc>
        <w:tc>
          <w:tcPr>
            <w:tcW w:w="3120" w:type="dxa"/>
          </w:tcPr>
          <w:p>
            <w:r>
              <w:rPr>
                <w:b/>
              </w:rPr>
              <w:t xml:space="preserve">28</w:t>
            </w:r>
          </w:p>
        </w:tc>
        <w:tc>
          <w:tcPr>
            <w:tcW w:w="3120" w:type="dxa"/>
          </w:tcPr>
          <w:p>
            <w:r>
              <w:rPr>
                <w:rFonts w:ascii="Consolas" w:hAnsi="Consolas"/>
                <w:sz w:val="19"/>
              </w:rPr>
              <w:t xml:space="preserve">source_depositor</w:t>
            </w:r>
            <w:r>
              <w:rPr/>
              <w:t xml:space="preserve"> — payment key hash of the depositor</w:t>
            </w:r>
          </w:p>
        </w:tc>
      </w:tr>
      <w:tr>
        <w:tc>
          <w:tcPr>
            <w:tcW w:w="3120" w:type="dxa"/>
          </w:tcPr>
          <w:p>
            <w:r>
              <w:rPr/>
              <w:t xml:space="preserve">136</w:t>
            </w:r>
          </w:p>
        </w:tc>
        <w:tc>
          <w:tcPr>
            <w:tcW w:w="3120" w:type="dxa"/>
          </w:tcPr>
          <w:p>
            <w:r>
              <w:rPr>
                <w:b/>
              </w:rPr>
              <w:t xml:space="preserve">32</w:t>
            </w:r>
          </w:p>
        </w:tc>
        <w:tc>
          <w:tcPr>
            <w:tcW w:w="3120" w:type="dxa"/>
          </w:tcPr>
          <w:p>
            <w:r>
              <w:rPr>
                <w:rFonts w:ascii="Consolas" w:hAnsi="Consolas"/>
                <w:sz w:val="19"/>
              </w:rPr>
              <w:t xml:space="preserve">destination_recipient</w:t>
            </w:r>
          </w:p>
        </w:tc>
      </w:tr>
    </w:tbl>
    <w:p>
      <w:pPr>
        <w:spacing w:after="160"/>
      </w:pPr>
    </w:p>
    <w:p>
      <w:pPr>
        <w:spacing w:after="160"/>
      </w:pPr>
      <w:r>
        <w:rPr/>
        <w:t xml:space="preserve">And the rule:</w:t>
      </w:r>
    </w:p>
    <w:p>
      <w:pPr>
        <w:ind w:left="480"/>
        <w:spacing w:after="140"/>
      </w:pPr>
      <w:r>
        <w:rPr>
          <w:rFonts w:ascii="Consolas" w:hAnsi="Consolas"/>
          <w:sz w:val="19"/>
          <w:i/>
        </w:rPr>
        <w:t xml:space="preserve">source_token</w:t>
      </w:r>
      <w:r>
        <w:rPr>
          <w:i/>
        </w:rPr>
        <w:t xml:space="preserve">, </w:t>
      </w:r>
      <w:r>
        <w:rPr>
          <w:rFonts w:ascii="Consolas" w:hAnsi="Consolas"/>
          <w:sz w:val="19"/>
          <w:i/>
        </w:rPr>
        <w:t xml:space="preserve">destination_token</w:t>
      </w:r>
      <w:r>
        <w:rPr>
          <w:i/>
        </w:rPr>
        <w:t xml:space="preserve">, and </w:t>
      </w:r>
      <w:r>
        <w:rPr>
          <w:rFonts w:ascii="Consolas" w:hAnsi="Consolas"/>
          <w:sz w:val="19"/>
          <w:i/>
        </w:rPr>
        <w:t xml:space="preserve">destination_recipient</w:t>
      </w:r>
      <w:r>
        <w:rPr>
          <w:i/>
        </w:rPr>
        <w:t xml:space="preserve"> are each </w:t>
      </w:r>
      <w:r>
        <w:rPr>
          <w:b/>
          <w:i/>
        </w:rPr>
        <w:t xml:space="preserve">exactly 32 bytes. No shorter, no longer.</w:t>
      </w:r>
    </w:p>
    <w:p>
      <w:pPr>
        <w:spacing w:after="160"/>
      </w:pPr>
      <w:r>
        <w:rPr/>
        <w:t xml:space="preserve">A Cardano </w:t>
      </w:r>
      <w:r>
        <w:rPr>
          <w:b/>
        </w:rPr>
        <w:t xml:space="preserve">base</w:t>
      </w:r>
      <w:r>
        <w:rPr/>
        <w:t xml:space="preserve"> address is 57 bytes: a header, a 28-byte payment credential, and a 28-byte stake credential. It does not fit in 32 bytes. What survives is the payment credential — which is exactly what </w:t>
      </w:r>
      <w:r>
        <w:rPr>
          <w:rFonts w:ascii="Consolas" w:hAnsi="Consolas"/>
          <w:sz w:val="19"/>
        </w:rPr>
        <w:t xml:space="preserve">source_depositor</w:t>
      </w:r>
      <w:r>
        <w:rPr/>
        <w:t xml:space="preserve"> is defined as.</w:t>
      </w:r>
    </w:p>
    <w:p>
      <w:pPr>
        <w:spacing w:after="160"/>
      </w:pPr>
      <w:r>
        <w:rPr/>
        <w:t xml:space="preserve">Reconstruct an address from a payment credential with no stake credential and you get an </w:t>
      </w:r>
      <w:r>
        <w:rPr>
          <w:b/>
        </w:rPr>
        <w:t xml:space="preserve">enterprise address</w:t>
      </w:r>
      <w:r>
        <w:rPr/>
        <w:t xml:space="preserve">. Every time. By design.</w:t>
      </w:r>
    </w:p>
    <w:p>
      <w:pPr>
        <w:spacing w:after="160"/>
      </w:pPr>
      <w:r>
        <w:rPr/>
        <w:t xml:space="preserve">So the spec is correct and complete, and the consequence — *your funds land somewhere Lace does not display, and you will think the bridge ate them* — is nowhere.</w:t>
      </w:r>
    </w:p>
    <w:p>
      <w:pPr>
        <w:spacing w:after="160"/>
      </w:pPr>
      <w:r>
        <w:rPr/>
        <w:t xml:space="preserve">I built the derivation into Tender so the app shows both balances side by side:</w:t>
      </w:r>
    </w:p>
    <w:p>
      <w:pPr>
        <w:spacing w:after="0"/>
        <w:shd w:val="clear" w:fill="F4F4F4"/>
      </w:pPr>
      <w:r>
        <w:rPr>
          <w:rFonts w:ascii="Consolas" w:hAnsi="Consolas"/>
          <w:sz w:val="18"/>
        </w:rPr>
        <w:t xml:space="preserve">Cardano Preprod        990.000000 USDM</w:t>
      </w:r>
    </w:p>
    <w:p>
      <w:pPr>
        <w:spacing w:after="0"/>
        <w:shd w:val="clear" w:fill="F4F4F4"/>
      </w:pPr>
      <w:r>
        <w:rPr>
          <w:rFonts w:ascii="Consolas" w:hAnsi="Consolas"/>
          <w:sz w:val="18"/>
        </w:rPr>
        <w:t xml:space="preserve">  977.000000 at your wallet address</w:t>
      </w:r>
    </w:p>
    <w:p>
      <w:pPr>
        <w:spacing w:after="0"/>
        <w:shd w:val="clear" w:fill="F4F4F4"/>
      </w:pPr>
      <w:r>
        <w:rPr>
          <w:rFonts w:ascii="Consolas" w:hAnsi="Consolas"/>
          <w:sz w:val="18"/>
        </w:rPr>
        <w:t xml:space="preserve">   13.000000 at your enterprise address</w:t>
      </w:r>
    </w:p>
    <w:p>
      <w:pPr>
        <w:spacing w:after="120"/>
      </w:pPr>
    </w:p>
    <w:p>
      <w:pPr>
        <w:spacing w:after="160"/>
      </w:pPr>
      <w:r>
        <w:rPr/>
        <w:t xml:space="preserve">VIA export </w:t>
      </w:r>
      <w:r>
        <w:rPr>
          <w:rFonts w:ascii="Consolas" w:hAnsi="Consolas"/>
          <w:sz w:val="19"/>
        </w:rPr>
        <w:t xml:space="preserve">getEnterpriseAddress</w:t>
      </w:r>
      <w:r>
        <w:rPr/>
        <w:t xml:space="preserve"> from the package, so they know. If you are building anything user-facing on this, derive it and show it.</w:t>
      </w:r>
    </w:p>
    <w:p>
      <w:pPr>
        <w:pBdr>
          <w:bottom w:val="single" w:sz="6" w:color="BBBBBB"/>
        </w:pBdr>
        <w:spacing w:before="160" w:after="200"/>
      </w:pPr>
    </w:p>
    <w:p>
      <w:pPr>
        <w:pStyle w:val="Heading2"/>
      </w:pPr>
      <w:r>
        <w:rPr/>
        <w:t xml:space="preserve">2. VIA Scan needs </w:t>
      </w:r>
      <w:r>
        <w:rPr>
          <w:rFonts w:ascii="Consolas" w:hAnsi="Consolas"/>
          <w:sz w:val="19"/>
        </w:rPr>
        <w:t xml:space="preserve">0x</w:t>
      </w:r>
      <w:r>
        <w:rPr/>
        <w:t xml:space="preserve"> on Midnight hashes and refuses it on Cardano ones</w:t>
      </w:r>
    </w:p>
    <w:p>
      <w:pPr>
        <w:spacing w:after="160"/>
      </w:pPr>
      <w:r>
        <w:rPr/>
        <w:t xml:space="preserve">Same transfer, two URLs:</w:t>
      </w:r>
    </w:p>
    <w:p>
      <w:pPr>
        <w:spacing w:after="0"/>
        <w:shd w:val="clear" w:fill="F4F4F4"/>
      </w:pPr>
      <w:r>
        <w:rPr>
          <w:rFonts w:ascii="Consolas" w:hAnsi="Consolas"/>
          <w:sz w:val="18"/>
        </w:rPr>
        <w:t xml:space="preserve">scan.vialabs.tech/tx/3c7daa78…9fda6034      →  Not found</w:t>
      </w:r>
    </w:p>
    <w:p>
      <w:pPr>
        <w:spacing w:after="0"/>
        <w:shd w:val="clear" w:fill="F4F4F4"/>
      </w:pPr>
      <w:r>
        <w:rPr>
          <w:rFonts w:ascii="Consolas" w:hAnsi="Consolas"/>
          <w:sz w:val="18"/>
        </w:rPr>
        <w:t xml:space="preserve">scan.vialabs.tech/tx/0x3c7daa78…9fda6034    →  Delivered</w:t>
      </w:r>
    </w:p>
    <w:p>
      <w:pPr>
        <w:spacing w:after="120"/>
      </w:pPr>
    </w:p>
    <w:p>
      <w:pPr>
        <w:spacing w:after="160"/>
      </w:pPr>
      <w:r>
        <w:rPr/>
        <w:t xml:space="preserve">A Cardano-source hash must be </w:t>
      </w:r>
      <w:r>
        <w:rPr>
          <w:b/>
        </w:rPr>
        <w:t xml:space="preserve">bare</w:t>
      </w:r>
      <w:r>
        <w:rPr/>
        <w:t xml:space="preserve">. A Midnight-source hash must be </w:t>
      </w:r>
      <w:r>
        <w:rPr>
          <w:b/>
        </w:rPr>
        <w:t xml:space="preserve">`0x`-prefixed</w:t>
      </w:r>
      <w:r>
        <w:rPr/>
        <w:t xml:space="preserve">. Get it wrong and Scan tells you the transaction does not exist, on a transfer that completed.</w:t>
      </w:r>
    </w:p>
    <w:p>
      <w:pPr>
        <w:spacing w:after="160"/>
      </w:pPr>
      <w:r>
        <w:rPr/>
        <w:t xml:space="preserve">And one more: </w:t>
      </w:r>
      <w:r>
        <w:rPr>
          <w:b/>
        </w:rPr>
        <w:t xml:space="preserve">VIA Scan opens on Mainnet.</w:t>
      </w:r>
      <w:r>
        <w:rPr/>
        <w:t xml:space="preserve"> Every testnet message is invisible until you flip the network toggle.</w:t>
      </w:r>
    </w:p>
    <w:p>
      <w:pPr>
        <w:spacing w:after="160"/>
      </w:pPr>
      <w:r>
        <w:rPr/>
        <w:t xml:space="preserve">That is three separate ways to conclude a working transfer failed. I wrote one helper and stopped guessing:</w:t>
      </w:r>
    </w:p>
    <w:p>
      <w:pPr>
        <w:spacing w:after="0"/>
        <w:shd w:val="clear" w:fill="F4F4F4"/>
      </w:pPr>
      <w:r>
        <w:rPr>
          <w:rFonts w:ascii="Consolas" w:hAnsi="Consolas"/>
          <w:sz w:val="18"/>
        </w:rPr>
        <w:t xml:space="preserve">function viaScanHref(hash: string, fromMidnight: boolean): string {</w:t>
      </w:r>
    </w:p>
    <w:p>
      <w:pPr>
        <w:spacing w:after="0"/>
        <w:shd w:val="clear" w:fill="F4F4F4"/>
      </w:pPr>
      <w:r>
        <w:rPr>
          <w:rFonts w:ascii="Consolas" w:hAnsi="Consolas"/>
          <w:sz w:val="18"/>
        </w:rPr>
        <w:t xml:space="preserve">    const h = fromMidnight &amp;&amp; !hash.startsWith("0x") ? `0x${hash}` : hash;</w:t>
      </w:r>
    </w:p>
    <w:p>
      <w:pPr>
        <w:spacing w:after="0"/>
        <w:shd w:val="clear" w:fill="F4F4F4"/>
      </w:pPr>
      <w:r>
        <w:rPr>
          <w:rFonts w:ascii="Consolas" w:hAnsi="Consolas"/>
          <w:sz w:val="18"/>
        </w:rPr>
        <w:t xml:space="preserve">    return `${VIA_SCAN}/tx/${h}`;</w:t>
      </w:r>
    </w:p>
    <w:p>
      <w:pPr>
        <w:spacing w:after="0"/>
        <w:shd w:val="clear" w:fill="F4F4F4"/>
      </w:pPr>
      <w:r>
        <w:rPr>
          <w:rFonts w:ascii="Consolas" w:hAnsi="Consolas"/>
          <w:sz w:val="18"/>
        </w:rPr>
        <w:t xml:space="preserve">}</w:t>
      </w:r>
    </w:p>
    <w:p>
      <w:pPr>
        <w:spacing w:after="120"/>
      </w:pPr>
    </w:p>
    <w:p>
      <w:pPr>
        <w:pBdr>
          <w:bottom w:val="single" w:sz="6" w:color="BBBBBB"/>
        </w:pBdr>
        <w:spacing w:before="160" w:after="200"/>
      </w:pPr>
    </w:p>
    <w:p>
      <w:pPr>
        <w:pStyle w:val="Heading2"/>
      </w:pPr>
      <w:r>
        <w:rPr/>
        <w:t xml:space="preserve">3. Testnet attests after one block. Mainnet is the fifty-minute one</w:t>
      </w:r>
    </w:p>
    <w:p>
      <w:pPr>
        <w:spacing w:after="160"/>
      </w:pPr>
      <w:r>
        <w:rPr/>
        <w:t xml:space="preserve">The docs say it plainly, but it is easy to read the wrong row:</w:t>
      </w:r>
    </w:p>
    <w:p>
      <w:pPr>
        <w:ind w:left="480"/>
        <w:spacing w:after="140"/>
      </w:pPr>
      <w:r>
        <w:rPr>
          <w:i/>
        </w:rPr>
        <w:t xml:space="preserve">Validators wait for source-chain confirmations before attesting a message: </w:t>
      </w:r>
      <w:r>
        <w:rPr>
          <w:b/>
          <w:i/>
        </w:rPr>
        <w:t xml:space="preserve">1 block on testnet</w:t>
      </w:r>
      <w:r>
        <w:rPr>
          <w:i/>
        </w:rPr>
        <w:t xml:space="preserve">, 150 Cardano blocks (≈50 minutes) on mainnet.</w:t>
      </w:r>
    </w:p>
    <w:p>
      <w:pPr>
        <w:spacing w:after="160"/>
      </w:pPr>
      <w:r>
        <w:rPr/>
        <w:t xml:space="preserve">My fastest Preprod → Preview transfer delivered in </w:t>
      </w:r>
      <w:r>
        <w:rPr>
          <w:b/>
        </w:rPr>
        <w:t xml:space="preserve">1 minute 52 seconds</w:t>
      </w:r>
      <w:r>
        <w:rPr/>
        <w:t xml:space="preserve">. So if you are on testnet and nothing has arrived after ten minutes, something is wrong — do not wait an hour because you saw "~55 min" somewhere.</w:t>
      </w:r>
    </w:p>
    <w:p>
      <w:pPr>
        <w:spacing w:after="160"/>
      </w:pPr>
      <w:r>
        <w:rPr/>
        <w:t xml:space="preserve">Which is how I noticed the next thing.</w:t>
      </w:r>
    </w:p>
    <w:p>
      <w:pPr>
        <w:pBdr>
          <w:bottom w:val="single" w:sz="6" w:color="BBBBBB"/>
        </w:pBdr>
        <w:spacing w:before="160" w:after="200"/>
      </w:pPr>
    </w:p>
    <w:p>
      <w:pPr>
        <w:pStyle w:val="Heading2"/>
      </w:pPr>
      <w:r>
        <w:rPr/>
        <w:t xml:space="preserve">4. A Compact contract cannot take custody of USDM on Preview today</w:t>
      </w:r>
    </w:p>
    <w:p>
      <w:pPr>
        <w:spacing w:after="160"/>
      </w:pPr>
      <w:r>
        <w:rPr/>
        <w:t xml:space="preserve">Privoice was originally designed to pool USDM inside the contract, so amounts could be hidden outright rather than just unlinked. Before writing it, I tested whether that was possible.</w:t>
      </w:r>
    </w:p>
    <w:p>
      <w:pPr>
        <w:spacing w:after="160"/>
      </w:pPr>
      <w:r>
        <w:rPr/>
        <w:t xml:space="preserve">I put two circuits in </w:t>
      </w:r>
      <w:r>
        <w:rPr>
          <w:b/>
        </w:rPr>
        <w:t xml:space="preserve">one contract</w:t>
      </w:r>
      <w:r>
        <w:rPr/>
        <w:t xml:space="preserve"> — same deploy, same wallet, same DUST state, same block window — differing by a single line:</w:t>
      </w:r>
    </w:p>
    <w:p>
      <w:pPr>
        <w:spacing w:after="0"/>
        <w:shd w:val="clear" w:fill="F4F4F4"/>
      </w:pPr>
      <w:r>
        <w:rPr>
          <w:rFonts w:ascii="Consolas" w:hAnsi="Consolas"/>
          <w:sz w:val="18"/>
        </w:rPr>
        <w:t xml:space="preserve">export circuit bump(): [] {</w:t>
      </w:r>
    </w:p>
    <w:p>
      <w:pPr>
        <w:spacing w:after="0"/>
        <w:shd w:val="clear" w:fill="F4F4F4"/>
      </w:pPr>
      <w:r>
        <w:rPr>
          <w:rFonts w:ascii="Consolas" w:hAnsi="Consolas"/>
          <w:sz w:val="18"/>
        </w:rPr>
        <w:t xml:space="preserve">  bumps = (bumps + (1 as Uint&lt;64&gt;)) as Uint&lt;64&gt;;</w:t>
      </w:r>
    </w:p>
    <w:p>
      <w:pPr>
        <w:spacing w:after="0"/>
        <w:shd w:val="clear" w:fill="F4F4F4"/>
      </w:pPr>
      <w:r>
        <w:rPr>
          <w:rFonts w:ascii="Consolas" w:hAnsi="Consolas"/>
          <w:sz w:val="18"/>
        </w:rPr>
        <w:t xml:space="preserve">}</w:t>
      </w:r>
    </w:p>
    <w:p>
      <w:pPr>
        <w:spacing w:after="0"/>
        <w:shd w:val="clear" w:fill="F4F4F4"/>
      </w:pPr>
      <w:r>
        <w:rPr>
          <w:rFonts w:ascii="Consolas" w:hAnsi="Consolas"/>
          <w:sz w:val="18"/>
        </w:rPr>
        <w:t xml:space="preserve"> </w:t>
      </w:r>
    </w:p>
    <w:p>
      <w:pPr>
        <w:spacing w:after="0"/>
        <w:shd w:val="clear" w:fill="F4F4F4"/>
      </w:pPr>
      <w:r>
        <w:rPr>
          <w:rFonts w:ascii="Consolas" w:hAnsi="Consolas"/>
          <w:sz w:val="18"/>
        </w:rPr>
        <w:t xml:space="preserve">export circuit deposit(color: Bytes&lt;32&gt;, amount: Uint&lt;128&gt;): [] {</w:t>
      </w:r>
    </w:p>
    <w:p>
      <w:pPr>
        <w:spacing w:after="0"/>
        <w:shd w:val="clear" w:fill="F4F4F4"/>
      </w:pPr>
      <w:r>
        <w:rPr>
          <w:rFonts w:ascii="Consolas" w:hAnsi="Consolas"/>
          <w:sz w:val="18"/>
        </w:rPr>
        <w:t xml:space="preserve">  receiveUnshielded(disclose(color), disclose(amount));</w:t>
      </w:r>
    </w:p>
    <w:p>
      <w:pPr>
        <w:spacing w:after="0"/>
        <w:shd w:val="clear" w:fill="F4F4F4"/>
      </w:pPr>
      <w:r>
        <w:rPr>
          <w:rFonts w:ascii="Consolas" w:hAnsi="Consolas"/>
          <w:sz w:val="18"/>
        </w:rPr>
        <w:t xml:space="preserve">  deposits = (deposits + (1 as Uint&lt;64&gt;)) as Uint&lt;64&gt;;</w:t>
      </w:r>
    </w:p>
    <w:p>
      <w:pPr>
        <w:spacing w:after="0"/>
        <w:shd w:val="clear" w:fill="F4F4F4"/>
      </w:pPr>
      <w:r>
        <w:rPr>
          <w:rFonts w:ascii="Consolas" w:hAnsi="Consolas"/>
          <w:sz w:val="18"/>
        </w:rPr>
        <w:t xml:space="preserve">}</w:t>
      </w:r>
    </w:p>
    <w:p>
      <w:pPr>
        <w:spacing w:after="120"/>
      </w:pPr>
    </w:p>
    <w:p>
      <w:pPr>
        <w:spacing w:after="160"/>
      </w:pPr>
      <w:r>
        <w:rPr/>
        <w:t xml:space="preserve">Contract </w:t>
      </w:r>
      <w:r>
        <w:rPr>
          <w:rFonts w:ascii="Consolas" w:hAnsi="Consolas"/>
          <w:sz w:val="19"/>
        </w:rPr>
        <w:t xml:space="preserve">c755041b16edcde0fb504e8967317d8de0cb2ef6a8593585877cd2a7e9c6e928</w:t>
      </w:r>
      <w:r>
        <w:rPr/>
        <w:t xml:space="preserve"> on Preview:</w:t>
      </w:r>
    </w:p>
    <w:tbl>
      <w:tblPr>
        <w:tblW w:w="9360" w:type="dxa"/>
        <w:tblBorders>
          <w:top w:val="single" w:sz="4" w:color="CCCCCC"/>
          <w:left w:val="single" w:sz="4" w:color="CCCCCC"/>
          <w:bottom w:val="single" w:sz="4" w:color="CCCCCC"/>
          <w:right w:val="single" w:sz="4" w:color="CCCCCC"/>
          <w:insideH w:val="single" w:sz="4" w:color="CCCCCC"/>
          <w:insideV w:val="single" w:sz="4" w:color="CCCCCC"/>
        </w:tblBorders>
      </w:tblPr>
      <w:tblGrid>
        <w:gridCol w:w="4680"/>
        <w:gridCol w:w="4680"/>
      </w:tblGrid>
      <w:tr>
        <w:tc>
          <w:tcPr>
            <w:tcW w:w="4680" w:type="dxa"/>
            <w:shd w:val="clear" w:fill="EFEFEF"/>
          </w:tcPr>
          <w:p>
            <w:r>
              <w:rPr>
                <w:b/>
              </w:rPr>
              <w:t xml:space="preserve">circuit</w:t>
            </w:r>
          </w:p>
        </w:tc>
        <w:tc>
          <w:tcPr>
            <w:tcW w:w="4680" w:type="dxa"/>
            <w:shd w:val="clear" w:fill="EFEFEF"/>
          </w:tcPr>
          <w:p>
            <w:r>
              <w:rPr>
                <w:b/>
              </w:rPr>
              <w:t xml:space="preserve">result</w:t>
            </w:r>
          </w:p>
        </w:tc>
      </w:tr>
      <w:tr>
        <w:tc>
          <w:tcPr>
            <w:tcW w:w="4680" w:type="dxa"/>
          </w:tcPr>
          <w:p>
            <w:r>
              <w:rPr>
                <w:rFonts w:ascii="Consolas" w:hAnsi="Consolas"/>
                <w:sz w:val="19"/>
              </w:rPr>
              <w:t xml:space="preserve">bump()</w:t>
            </w:r>
            <w:r>
              <w:rPr/>
              <w:t xml:space="preserve"> — ledger write only</w:t>
            </w:r>
          </w:p>
        </w:tc>
        <w:tc>
          <w:tcPr>
            <w:tcW w:w="4680" w:type="dxa"/>
          </w:tcPr>
          <w:p>
            <w:r>
              <w:rPr>
                <w:b/>
              </w:rPr>
              <w:t xml:space="preserve">ACCEPTED</w:t>
            </w:r>
          </w:p>
        </w:tc>
      </w:tr>
      <w:tr>
        <w:tc>
          <w:tcPr>
            <w:tcW w:w="4680" w:type="dxa"/>
          </w:tcPr>
          <w:p>
            <w:r>
              <w:rPr>
                <w:rFonts w:ascii="Consolas" w:hAnsi="Consolas"/>
                <w:sz w:val="19"/>
              </w:rPr>
              <w:t xml:space="preserve">deposit()</w:t>
            </w:r>
            <w:r>
              <w:rPr/>
              <w:t xml:space="preserve"> — ledger write + </w:t>
            </w:r>
            <w:r>
              <w:rPr>
                <w:rFonts w:ascii="Consolas" w:hAnsi="Consolas"/>
                <w:sz w:val="19"/>
              </w:rPr>
              <w:t xml:space="preserve">receiveUnshielded</w:t>
            </w:r>
          </w:p>
        </w:tc>
        <w:tc>
          <w:tcPr>
            <w:tcW w:w="4680" w:type="dxa"/>
          </w:tcPr>
          <w:p>
            <w:r>
              <w:rPr>
                <w:b/>
              </w:rPr>
              <w:t xml:space="preserve">REJECTED, `Custom(192)`</w:t>
            </w:r>
          </w:p>
        </w:tc>
      </w:tr>
    </w:tbl>
    <w:p>
      <w:pPr>
        <w:spacing w:after="160"/>
      </w:pPr>
    </w:p>
    <w:p>
      <w:pPr>
        <w:spacing w:after="160"/>
      </w:pPr>
      <w:r>
        <w:rPr/>
        <w:t xml:space="preserve">Six attempts, each </w:t>
      </w:r>
      <w:r>
        <w:rPr>
          <w:b/>
        </w:rPr>
        <w:t xml:space="preserve">rebuilt and re-proved from scratch</w:t>
      </w:r>
      <w:r>
        <w:rPr/>
        <w:t xml:space="preserve"> rather than resubmitted, all rejected identically, about forty seconds after the control was accepted from the same wallet.</w:t>
      </w:r>
    </w:p>
    <w:p>
      <w:pPr>
        <w:spacing w:after="160"/>
      </w:pPr>
      <w:r>
        <w:rPr/>
        <w:t xml:space="preserve">Decoding </w:t>
      </w:r>
      <w:r>
        <w:rPr>
          <w:rFonts w:ascii="Consolas" w:hAnsi="Consolas"/>
          <w:sz w:val="19"/>
        </w:rPr>
        <w:t xml:space="preserve">1010: Invalid Transaction: Custom error: 192</w:t>
      </w:r>
      <w:r>
        <w:rPr/>
        <w:t xml:space="preserve"> matters here, so: </w:t>
      </w:r>
      <w:r>
        <w:rPr>
          <w:b/>
        </w:rPr>
        <w:t xml:space="preserve">`1010` is upstream Substrate and carries no Midnight meaning.</w:t>
      </w:r>
      <w:r>
        <w:rPr/>
        <w:t xml:space="preserve"> The cause is the inner </w:t>
      </w:r>
      <w:r>
        <w:rPr>
          <w:rFonts w:ascii="Consolas" w:hAnsi="Consolas"/>
          <w:sz w:val="19"/>
        </w:rPr>
        <w:t xml:space="preserve">u8</w:t>
      </w:r>
      <w:r>
        <w:rPr/>
        <w:t xml:space="preserve">. Look it up in </w:t>
      </w:r>
      <w:r>
        <w:rPr>
          <w:rFonts w:ascii="Consolas" w:hAnsi="Consolas"/>
          <w:sz w:val="19"/>
        </w:rPr>
        <w:t xml:space="preserve">impl From&lt;LedgerApiError&gt; for u8</w:t>
      </w:r>
      <w:r>
        <w:rPr/>
        <w:t xml:space="preserve"> in </w:t>
      </w:r>
      <w:r>
        <w:rPr>
          <w:rFonts w:ascii="Consolas" w:hAnsi="Consolas"/>
          <w:sz w:val="19"/>
        </w:rPr>
        <w:t xml:space="preserve">midnight-node/ledger/src/versions/common/types.rs</w:t>
      </w:r>
      <w:r>
        <w:rPr/>
        <w:t xml:space="preserve"> — not in a blog post, because the mapping changes across ledger versions.</w:t>
      </w:r>
    </w:p>
    <w:p>
      <w:pPr>
        <w:spacing w:after="0"/>
        <w:shd w:val="clear" w:fill="F4F4F4"/>
      </w:pPr>
      <w:r>
        <w:rPr>
          <w:rFonts w:ascii="Consolas" w:hAnsi="Consolas"/>
          <w:sz w:val="18"/>
        </w:rPr>
        <w:t xml:space="preserve">MalformedError::InputsSignaturesLengthMismatch =&gt; 192,</w:t>
      </w:r>
    </w:p>
    <w:p>
      <w:pPr>
        <w:spacing w:after="120"/>
      </w:pPr>
    </w:p>
    <w:p>
      <w:pPr>
        <w:spacing w:after="160"/>
      </w:pPr>
      <w:r>
        <w:rPr>
          <w:rFonts w:ascii="Consolas" w:hAnsi="Consolas"/>
          <w:sz w:val="19"/>
        </w:rPr>
        <w:t xml:space="preserve">192</w:t>
      </w:r>
      <w:r>
        <w:rPr/>
        <w:t xml:space="preserve"> sits in a run of four checks that are all specifically about unshielded inputs and outputs: </w:t>
      </w:r>
      <w:r>
        <w:rPr>
          <w:rFonts w:ascii="Consolas" w:hAnsi="Consolas"/>
          <w:sz w:val="19"/>
        </w:rPr>
        <w:t xml:space="preserve">InputsNotSorted</w:t>
      </w:r>
      <w:r>
        <w:rPr/>
        <w:t xml:space="preserve"> (189), </w:t>
      </w:r>
      <w:r>
        <w:rPr>
          <w:rFonts w:ascii="Consolas" w:hAnsi="Consolas"/>
          <w:sz w:val="19"/>
        </w:rPr>
        <w:t xml:space="preserve">OutputsNotSorted</w:t>
      </w:r>
      <w:r>
        <w:rPr/>
        <w:t xml:space="preserve"> (190), </w:t>
      </w:r>
      <w:r>
        <w:rPr>
          <w:rFonts w:ascii="Consolas" w:hAnsi="Consolas"/>
          <w:sz w:val="19"/>
        </w:rPr>
        <w:t xml:space="preserve">DuplicateInputs</w:t>
      </w:r>
      <w:r>
        <w:rPr/>
        <w:t xml:space="preserve"> (191), </w:t>
      </w:r>
      <w:r>
        <w:rPr>
          <w:rFonts w:ascii="Consolas" w:hAnsi="Consolas"/>
          <w:sz w:val="19"/>
        </w:rPr>
        <w:t xml:space="preserve">InputsSignaturesLengthMismatch</w:t>
      </w:r>
      <w:r>
        <w:rPr/>
        <w:t xml:space="preserve"> (192).</w:t>
      </w:r>
    </w:p>
    <w:p>
      <w:pPr>
        <w:spacing w:after="160"/>
      </w:pPr>
      <w:r>
        <w:rPr/>
        <w:t xml:space="preserve">So Privoice settles at the </w:t>
      </w:r>
      <w:r>
        <w:rPr>
          <w:b/>
        </w:rPr>
        <w:t xml:space="preserve">application layer</w:t>
      </w:r>
      <w:r>
        <w:rPr/>
        <w:t xml:space="preserve"> — the contract records that settlement happened and never touches the token. That is a measured constraint, not a design preference, and the README says so with both contract addresses.</w:t>
      </w:r>
    </w:p>
    <w:p>
      <w:pPr>
        <w:spacing w:after="160"/>
      </w:pPr>
      <w:r>
        <w:rPr/>
        <w:t xml:space="preserve">Worth knowing if you are designing anything that wants a contract to hold USDM.</w:t>
      </w:r>
    </w:p>
    <w:p>
      <w:pPr>
        <w:pBdr>
          <w:bottom w:val="single" w:sz="6" w:color="BBBBBB"/>
        </w:pBdr>
        <w:spacing w:before="160" w:after="200"/>
      </w:pPr>
    </w:p>
    <w:p>
      <w:pPr>
        <w:pStyle w:val="Heading2"/>
      </w:pPr>
      <w:r>
        <w:rPr/>
        <w:t xml:space="preserve">5. Unshielded inputs each need a signature, and forgetting it lands you on 192 too</w:t>
      </w:r>
    </w:p>
    <w:p>
      <w:pPr>
        <w:spacing w:after="160"/>
      </w:pPr>
      <w:r>
        <w:rPr/>
        <w:t xml:space="preserve">Related, and the practical version of the above. When you move USDM wallet-to-wallet with the SDK, the recipe must be </w:t>
      </w:r>
      <w:r>
        <w:rPr>
          <w:b/>
        </w:rPr>
        <w:t xml:space="preserve">signed before it is finalised</w:t>
      </w:r>
      <w:r>
        <w:rPr/>
        <w:t xml:space="preserve">:</w:t>
      </w:r>
    </w:p>
    <w:p>
      <w:pPr>
        <w:spacing w:after="0"/>
        <w:shd w:val="clear" w:fill="F4F4F4"/>
      </w:pPr>
      <w:r>
        <w:rPr>
          <w:rFonts w:ascii="Consolas" w:hAnsi="Consolas"/>
          <w:sz w:val="18"/>
        </w:rPr>
        <w:t xml:space="preserve">const recipe = await facade.transferTransaction(</w:t>
      </w:r>
    </w:p>
    <w:p>
      <w:pPr>
        <w:spacing w:after="0"/>
        <w:shd w:val="clear" w:fill="F4F4F4"/>
      </w:pPr>
      <w:r>
        <w:rPr>
          <w:rFonts w:ascii="Consolas" w:hAnsi="Consolas"/>
          <w:sz w:val="18"/>
        </w:rPr>
        <w:t xml:space="preserve">  [{ type: "unshielded", outputs: [{ amount, type: USDM_TOKEN_COLOR, receiverAddress }] }],</w:t>
      </w:r>
    </w:p>
    <w:p>
      <w:pPr>
        <w:spacing w:after="0"/>
        <w:shd w:val="clear" w:fill="F4F4F4"/>
      </w:pPr>
      <w:r>
        <w:rPr>
          <w:rFonts w:ascii="Consolas" w:hAnsi="Consolas"/>
          <w:sz w:val="18"/>
        </w:rPr>
        <w:t xml:space="preserve">  { shieldedSecretKeys, dustSecretKey },</w:t>
      </w:r>
    </w:p>
    <w:p>
      <w:pPr>
        <w:spacing w:after="0"/>
        <w:shd w:val="clear" w:fill="F4F4F4"/>
      </w:pPr>
      <w:r>
        <w:rPr>
          <w:rFonts w:ascii="Consolas" w:hAnsi="Consolas"/>
          <w:sz w:val="18"/>
        </w:rPr>
        <w:t xml:space="preserve">  { ttl, payFees: true },</w:t>
      </w:r>
    </w:p>
    <w:p>
      <w:pPr>
        <w:spacing w:after="0"/>
        <w:shd w:val="clear" w:fill="F4F4F4"/>
      </w:pPr>
      <w:r>
        <w:rPr>
          <w:rFonts w:ascii="Consolas" w:hAnsi="Consolas"/>
          <w:sz w:val="18"/>
        </w:rPr>
        <w:t xml:space="preserve">);</w:t>
      </w:r>
    </w:p>
    <w:p>
      <w:pPr>
        <w:spacing w:after="0"/>
        <w:shd w:val="clear" w:fill="F4F4F4"/>
      </w:pPr>
      <w:r>
        <w:rPr>
          <w:rFonts w:ascii="Consolas" w:hAnsi="Consolas"/>
          <w:sz w:val="18"/>
        </w:rPr>
        <w:t xml:space="preserve"> </w:t>
      </w:r>
    </w:p>
    <w:p>
      <w:pPr>
        <w:spacing w:after="0"/>
        <w:shd w:val="clear" w:fill="F4F4F4"/>
      </w:pPr>
      <w:r>
        <w:rPr>
          <w:rFonts w:ascii="Consolas" w:hAnsi="Consolas"/>
          <w:sz w:val="18"/>
        </w:rPr>
        <w:t xml:space="preserve">const signed    = await facade.signRecipe(recipe, (d) =&gt; keystore.signData(d));</w:t>
      </w:r>
    </w:p>
    <w:p>
      <w:pPr>
        <w:spacing w:after="0"/>
        <w:shd w:val="clear" w:fill="F4F4F4"/>
      </w:pPr>
      <w:r>
        <w:rPr>
          <w:rFonts w:ascii="Consolas" w:hAnsi="Consolas"/>
          <w:sz w:val="18"/>
        </w:rPr>
        <w:t xml:space="preserve">const finalized = await facade.finalizeRecipe(signed);</w:t>
      </w:r>
    </w:p>
    <w:p>
      <w:pPr>
        <w:spacing w:after="0"/>
        <w:shd w:val="clear" w:fill="F4F4F4"/>
      </w:pPr>
      <w:r>
        <w:rPr>
          <w:rFonts w:ascii="Consolas" w:hAnsi="Consolas"/>
          <w:sz w:val="18"/>
        </w:rPr>
        <w:t xml:space="preserve">const txId      = await facade.submitTransaction(finalized);</w:t>
      </w:r>
    </w:p>
    <w:p>
      <w:pPr>
        <w:spacing w:after="120"/>
      </w:pPr>
    </w:p>
    <w:p>
      <w:pPr>
        <w:spacing w:after="160"/>
      </w:pPr>
      <w:r>
        <w:rPr/>
        <w:t xml:space="preserve">Skip </w:t>
      </w:r>
      <w:r>
        <w:rPr>
          <w:rFonts w:ascii="Consolas" w:hAnsi="Consolas"/>
          <w:sz w:val="19"/>
        </w:rPr>
        <w:t xml:space="preserve">signRecipe</w:t>
      </w:r>
      <w:r>
        <w:rPr/>
        <w:t xml:space="preserve"> and the transaction reaches the node with fewer signatures than inputs — and you get </w:t>
      </w:r>
      <w:r>
        <w:rPr>
          <w:rFonts w:ascii="Consolas" w:hAnsi="Consolas"/>
          <w:sz w:val="19"/>
        </w:rPr>
        <w:t xml:space="preserve">Custom(192)</w:t>
      </w:r>
      <w:r>
        <w:rPr/>
        <w:t xml:space="preserve"> again, from a completely different cause than the contract case above. Same code, same error, unrelated bug.</w:t>
      </w:r>
    </w:p>
    <w:p>
      <w:pPr>
        <w:pBdr>
          <w:bottom w:val="single" w:sz="6" w:color="BBBBBB"/>
        </w:pBdr>
        <w:spacing w:before="160" w:after="200"/>
      </w:pPr>
    </w:p>
    <w:p>
      <w:pPr>
        <w:pStyle w:val="Heading2"/>
      </w:pPr>
      <w:r>
        <w:rPr/>
        <w:t xml:space="preserve">6. When the gateway stops, there is no other way to get USDM</w:t>
      </w:r>
    </w:p>
    <w:p>
      <w:pPr>
        <w:spacing w:after="160"/>
      </w:pPr>
      <w:r>
        <w:rPr/>
        <w:t xml:space="preserve">USDM is minted on Midnight </w:t>
      </w:r>
      <w:r>
        <w:rPr>
          <w:b/>
        </w:rPr>
        <w:t xml:space="preserve">solely</w:t>
      </w:r>
      <w:r>
        <w:rPr/>
        <w:t xml:space="preserve"> by VIA's cross-chain gateway delivering a message from Cardano. No faucet, no other issuance path. Which means if that gateway stops delivering, you cannot get USDM on Preview at all — and I found that out with a submission deadline in front of me.</w:t>
      </w:r>
    </w:p>
    <w:p>
      <w:pPr>
        <w:spacing w:after="160"/>
      </w:pPr>
      <w:r>
        <w:rPr/>
        <w:t xml:space="preserve">On 2 September I sent 10 USDM from my own bridge UI at 12:15 MDT. Nothing arrived. An hour later I sent 1 USDM using </w:t>
      </w:r>
      <w:r>
        <w:rPr>
          <w:b/>
        </w:rPr>
        <w:t xml:space="preserve">VIA's own CLI</w:t>
      </w:r>
      <w:r>
        <w:rPr/>
        <w:t xml:space="preserve"> as a control, to rule out my code. Both sat at *Awaiting Attestation*.</w:t>
      </w:r>
    </w:p>
    <w:p>
      <w:pPr>
        <w:spacing w:after="160"/>
      </w:pPr>
      <w:r>
        <w:rPr/>
        <w:t xml:space="preserve">The evidence said it was not me:</w:t>
      </w:r>
    </w:p>
    <w:p>
      <w:pPr>
        <w:numPr>
          <w:ilvl w:val="0"/>
          <w:numId w:val="1"/>
        </w:numPr>
        <w:spacing w:after="60"/>
      </w:pPr>
      <w:r>
        <w:rPr/>
        <w:t xml:space="preserve">Both messages carried routing values matching VIA's published testnet table — chain ids </w:t>
      </w:r>
      <w:r>
        <w:rPr>
          <w:rFonts w:ascii="Consolas" w:hAnsi="Consolas"/>
          <w:sz w:val="19"/>
        </w:rPr>
        <w:t xml:space="preserve">2273266 → 64364450</w:t>
      </w:r>
      <w:r>
        <w:rPr/>
        <w:t xml:space="preserve">, gateway </w:t>
      </w:r>
      <w:r>
        <w:rPr>
          <w:rFonts w:ascii="Consolas" w:hAnsi="Consolas"/>
          <w:sz w:val="19"/>
        </w:rPr>
        <w:t xml:space="preserve">471dfe55…e73e485c</w:t>
      </w:r>
      <w:r>
        <w:rPr/>
        <w:t xml:space="preserve">, token colour </w:t>
      </w:r>
      <w:r>
        <w:rPr>
          <w:rFonts w:ascii="Consolas" w:hAnsi="Consolas"/>
          <w:sz w:val="19"/>
        </w:rPr>
        <w:t xml:space="preserve">003bacd9…947d73</w:t>
      </w:r>
    </w:p>
    <w:p>
      <w:pPr>
        <w:numPr>
          <w:ilvl w:val="0"/>
          <w:numId w:val="1"/>
        </w:numPr>
        <w:spacing w:after="60"/>
      </w:pPr>
      <w:r>
        <w:rPr/>
        <w:t xml:space="preserve">Both </w:t>
      </w:r>
      <w:r>
        <w:rPr>
          <w:rFonts w:ascii="Consolas" w:hAnsi="Consolas"/>
          <w:sz w:val="19"/>
        </w:rPr>
        <w:t xml:space="preserve">destinationRecipient</w:t>
      </w:r>
      <w:r>
        <w:rPr/>
        <w:t xml:space="preserve"> fields decoded to my own address</w:t>
      </w:r>
    </w:p>
    <w:p>
      <w:pPr>
        <w:numPr>
          <w:ilvl w:val="0"/>
          <w:numId w:val="1"/>
        </w:numPr>
        <w:spacing w:after="60"/>
      </w:pPr>
      <w:r>
        <w:rPr/>
        <w:t xml:space="preserve">Cardano Preprod was healthy — the tip was ~260 blocks past my lock</w:t>
      </w:r>
    </w:p>
    <w:p>
      <w:pPr>
        <w:numPr>
          <w:ilvl w:val="0"/>
          <w:numId w:val="1"/>
        </w:numPr>
        <w:spacing w:after="60"/>
      </w:pPr>
      <w:r>
        <w:rPr/>
        <w:t xml:space="preserve">The docs say testnet attests after </w:t>
      </w:r>
      <w:r>
        <w:rPr>
          <w:b/>
        </w:rPr>
        <w:t xml:space="preserve">1 block</w:t>
      </w:r>
      <w:r>
        <w:rPr/>
        <w:t xml:space="preserve">, and my 29 August transfer on the same route delivered in </w:t>
      </w:r>
      <w:r>
        <w:rPr>
          <w:b/>
        </w:rPr>
        <w:t xml:space="preserve">1m 52s</w:t>
      </w:r>
    </w:p>
    <w:p>
      <w:pPr>
        <w:numPr>
          <w:ilvl w:val="0"/>
          <w:numId w:val="1"/>
        </w:numPr>
        <w:spacing w:after="60"/>
      </w:pPr>
      <w:r>
        <w:rPr/>
        <w:t xml:space="preserve">On VIA's global message feed, the last delivered message on that route was ~24 hours old. Mine were the only two since.</w:t>
      </w:r>
    </w:p>
    <w:p>
      <w:pPr>
        <w:spacing w:after="160"/>
      </w:pPr>
      <w:r>
        <w:rPr/>
        <w:t xml:space="preserve">Two independent clients, two package versions, ninety minutes apart, identical failure. That is about as clean a "not my code" result as you get.</w:t>
      </w:r>
    </w:p>
    <w:p>
      <w:pPr>
        <w:spacing w:after="160"/>
      </w:pPr>
      <w:r>
        <w:rPr/>
        <w:t xml:space="preserve">So I shipped anyway, and documented it. The payment leg is a parameter — one 32-byte token colour — so I ran the settlement with NIGHT instead, and the README said exactly that: which token moved, which token the code defaults to, why the substitution was necessary, and both stuck message ids so a reviewer could check the claim themselves in thirty seconds.</w:t>
      </w:r>
    </w:p>
    <w:p>
      <w:pPr>
        <w:spacing w:after="160"/>
      </w:pPr>
      <w:r>
        <w:rPr/>
        <w:t xml:space="preserve">The next morning both messages delivered — </w:t>
      </w:r>
      <w:r>
        <w:rPr>
          <w:b/>
        </w:rPr>
        <w:t xml:space="preserve">16h 32m</w:t>
      </w:r>
      <w:r>
        <w:rPr/>
        <w:t xml:space="preserve"> and </w:t>
      </w:r>
      <w:r>
        <w:rPr>
          <w:b/>
        </w:rPr>
        <w:t xml:space="preserve">15h 4m</w:t>
      </w:r>
      <w:r>
        <w:rPr/>
        <w:t xml:space="preserve">. VIA's scanner still labels those "normal". I re-ran the lifecycle with real USDM, paying a second address rather than my own, and removed the substitution note from the README, because it had stopped being true.</w:t>
      </w:r>
    </w:p>
    <w:p>
      <w:pPr>
        <w:spacing w:after="160"/>
      </w:pPr>
      <w:r>
        <w:rPr/>
        <w:t xml:space="preserve">Two things I would take from that. </w:t>
      </w:r>
      <w:r>
        <w:rPr>
          <w:b/>
        </w:rPr>
        <w:t xml:space="preserve">Delivery time on Preprod → Preview is not something to plan around</w:t>
      </w:r>
      <w:r>
        <w:rPr/>
        <w:t xml:space="preserve"> — the documented rule is one block and I saw sixteen hours. And when you are blocked by someone else's infrastructure, the move is to make the blocker verifiable rather than quietly omit it. Naming it cost nothing and would have survived review either way.</w:t>
      </w:r>
    </w:p>
    <w:p>
      <w:pPr>
        <w:pStyle w:val="Heading2"/>
      </w:pPr>
      <w:r>
        <w:rPr/>
        <w:t xml:space="preserve">Two smaller ones, for whoever hits them next</w:t>
      </w:r>
    </w:p>
    <w:p>
      <w:pPr>
        <w:spacing w:after="160"/>
      </w:pPr>
      <w:r>
        <w:rPr>
          <w:b/>
        </w:rPr>
        <w:t xml:space="preserve">DUST is not automatic.</w:t>
      </w:r>
      <w:r>
        <w:rPr/>
        <w:t xml:space="preserve"> Holding NIGHT does not generate DUST. It must be </w:t>
      </w:r>
      <w:r>
        <w:rPr>
          <w:b/>
        </w:rPr>
        <w:t xml:space="preserve">registered</w:t>
      </w:r>
      <w:r>
        <w:rPr/>
        <w:t xml:space="preserve">. My wallet and my probe both read zero until I registered, and nothing tells you that is why.</w:t>
      </w:r>
    </w:p>
    <w:p>
      <w:pPr>
        <w:spacing w:after="160"/>
      </w:pPr>
      <w:r>
        <w:rPr>
          <w:b/>
        </w:rPr>
        <w:t xml:space="preserve">The DUST wallet syncs separately, and far more slowly.</w:t>
      </w:r>
      <w:r>
        <w:rPr/>
        <w:t xml:space="preserve"> Most sync helpers wait on </w:t>
      </w:r>
      <w:r>
        <w:rPr>
          <w:rFonts w:ascii="Consolas" w:hAnsi="Consolas"/>
          <w:sz w:val="19"/>
        </w:rPr>
        <w:t xml:space="preserve">state.unshielded.progress</w:t>
      </w:r>
      <w:r>
        <w:rPr/>
        <w:t xml:space="preserve">, which catches up in about a second — then declare success while dust sits at 42 of 183,000 events. A zero DUST balance in that state is correct, not a fault. Wait on </w:t>
      </w:r>
      <w:r>
        <w:rPr>
          <w:rFonts w:ascii="Consolas" w:hAnsi="Consolas"/>
          <w:sz w:val="19"/>
        </w:rPr>
        <w:t xml:space="preserve">state.dust.progress</w:t>
      </w:r>
      <w:r>
        <w:rPr/>
        <w:t xml:space="preserve"> explicitly, and save a checkpoint afterwards or you pay the cold sync every run.</w:t>
      </w:r>
    </w:p>
    <w:p>
      <w:pPr>
        <w:pBdr>
          <w:bottom w:val="single" w:sz="6" w:color="BBBBBB"/>
        </w:pBdr>
        <w:spacing w:before="160" w:after="200"/>
      </w:pPr>
    </w:p>
    <w:p>
      <w:pPr>
        <w:pStyle w:val="Heading2"/>
      </w:pPr>
      <w:r>
        <w:rPr/>
        <w:t xml:space="preserve">What I ended up with</w:t>
      </w:r>
    </w:p>
    <w:p>
      <w:pPr>
        <w:spacing w:after="160"/>
      </w:pPr>
      <w:r>
        <w:rPr>
          <w:b/>
        </w:rPr>
        <w:t xml:space="preserve">[Tender](https://github.com/tomiin/tender-usdm)</w:t>
      </w:r>
      <w:r>
        <w:rPr/>
        <w:t xml:space="preserve"> — eight transfers, both directions, three of them signed in Lace rather than by the service. Enterprise-address derivation and correct explorer links built in.</w:t>
      </w:r>
    </w:p>
    <w:p>
      <w:pPr>
        <w:spacing w:after="160"/>
      </w:pPr>
      <w:r>
        <w:rPr>
          <w:b/>
        </w:rPr>
        <w:t xml:space="preserve">[Privoice](https://github.com/tomiin/privoice)</w:t>
      </w:r>
      <w:r>
        <w:rPr/>
        <w:t xml:space="preserve"> — a Compact contract where only </w:t>
      </w:r>
      <w:r>
        <w:rPr>
          <w:rFonts w:ascii="Consolas" w:hAnsi="Consolas"/>
          <w:sz w:val="19"/>
        </w:rPr>
        <w:t xml:space="preserve">persistentHash(amount, payer, memo, salt)</w:t>
      </w:r>
      <w:r>
        <w:rPr/>
        <w:t xml:space="preserve"> goes on chain. The payer proves an invoice names them by reconstructing a commitment that matches, so identity is demonstrated rather than asserted. Deployed on Preview with </w:t>
      </w:r>
      <w:r>
        <w:rPr>
          <w:rFonts w:ascii="Consolas" w:hAnsi="Consolas"/>
          <w:sz w:val="19"/>
        </w:rPr>
        <w:t xml:space="preserve">issue → acknowledge → pay → settle</w:t>
      </w:r>
      <w:r>
        <w:rPr/>
        <w:t xml:space="preserve">, all four accepted.</w:t>
      </w:r>
    </w:p>
    <w:p>
      <w:pPr>
        <w:spacing w:after="160"/>
      </w:pPr>
      <w:r>
        <w:rPr/>
        <w:t xml:space="preserve">Both repos have the full working code, the failed experiments, and the addresses to check any of this yourself.</w:t>
      </w:r>
    </w:p>
    <w:p>
      <w:pPr>
        <w:spacing w:after="160"/>
      </w:pPr>
      <w:r>
        <w:rPr/>
        <w:t xml:space="preserve">If you are starting on this today: derive the enterprise address, put </w:t>
      </w:r>
      <w:r>
        <w:rPr>
          <w:rFonts w:ascii="Consolas" w:hAnsi="Consolas"/>
          <w:sz w:val="19"/>
        </w:rPr>
        <w:t xml:space="preserve">0x</w:t>
      </w:r>
      <w:r>
        <w:rPr/>
        <w:t xml:space="preserve"> on your Midnight hashes, register your NIGHT, and read error codes from </w:t>
      </w:r>
      <w:r>
        <w:rPr>
          <w:rFonts w:ascii="Consolas" w:hAnsi="Consolas"/>
          <w:sz w:val="19"/>
        </w:rPr>
        <w:t xml:space="preserve">types.rs</w:t>
      </w:r>
      <w:r>
        <w:rPr/>
        <w:t xml:space="preserve">. That is most of the day I lost, in one line.</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num w:numId="1">
    <w:abstractNumId w:val="0"/>
  </w:num>
</w:numbering>
</file>

<file path=word/styles.xml><?xml version="1.0" encoding="utf-8"?>
<w:styles xmlns:w="http://schemas.openxmlformats.org/wordprocessingml/2006/main">
  <w:docDefaults>
    <w:rPrDefault>
      <w:rPr>
        <w:rFonts w:ascii="Calibri" w:hAnsi="Calibri"/>
        <w:sz w:val="22"/>
      </w:rPr>
    </w:rPrDefault>
  </w:docDefaults>
  <w:style w:type="paragraph" w:styleId="Heading1">
    <w:name w:val="heading 1"/>
    <w:pPr>
      <w:keepNext/>
      <w:spacing w:before="0" w:after="120"/>
    </w:pPr>
    <w:rPr>
      <w:b/>
      <w:sz w:val="40"/>
    </w:rPr>
  </w:style>
  <w:style w:type="paragraph" w:styleId="Heading2">
    <w:name w:val="heading 2"/>
    <w:pPr>
      <w:keepNext/>
      <w:spacing w:before="360" w:after="120"/>
    </w:pPr>
    <w:rPr>
      <w:b/>
      <w:sz w:val="28"/>
    </w:rPr>
  </w:style>
  <w:style w:type="paragraph" w:styleId="Heading3">
    <w:name w:val="heading 3"/>
    <w:pPr>
      <w:keepNext/>
      <w:spacing w:before="280" w:after="120"/>
    </w:pPr>
    <w:rPr>
      <w:b/>
      <w:sz w:val="24"/>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