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Five things I learned moving USDM between Cardano and Midnight</w:t>
      </w:r>
    </w:p>
    <w:p>
      <w:pPr>
        <w:spacing w:after="280"/>
      </w:pPr>
      <w:r>
        <w:rPr>
          <w:i/>
        </w:rPr>
        <w:t xml:space="preserve">Notes from building a cross-chain USDM transfer app and a private invoice contract on Midnight. Enterprise addresses, explorer link rules, a node error code, and why a contract cannot hold USDM today.</w:t>
      </w:r>
    </w:p>
    <w:p>
      <w:pPr>
        <w:spacing w:after="160"/>
      </w:pPr>
      <w:r>
        <w:rPr/>
        <w:t xml:space="preserve">I built two things on VIA's USDM cross-chain transfers over the past two weeks: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[Tender](https://github.com/tomiin/tender-usdm)</w:t>
      </w:r>
      <w:r>
        <w:rPr/>
        <w:t xml:space="preserve"> — a browser app that moves native USDM between Cardano Preprod and Midnight Preview, both directions, signed by the user's own wallets.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[Privoice](https://github.com/tomiin/privoice)</w:t>
      </w:r>
      <w:r>
        <w:rPr/>
        <w:t xml:space="preserve"> — a private invoice contract in Compact, settling in USDM, deployed on Midnight Preview.</w:t>
      </w:r>
    </w:p>
    <w:p>
      <w:pPr>
        <w:spacing w:after="160"/>
      </w:pPr>
      <w:r>
        <w:rPr/>
        <w:t xml:space="preserve">Eight transfers landed. One contract deployed with four on-chain interactions. Along the way I hit five things that are either not in the docs or are in the docs in a form that does not warn you about the consequence.</w:t>
      </w:r>
    </w:p>
    <w:p>
      <w:pPr>
        <w:spacing w:after="160"/>
      </w:pPr>
      <w:r>
        <w:rPr/>
        <w:t xml:space="preserve">None of this is a criticism of VIA's documentation, which is good. It is the gap between "correctly specified" and "you will not guess this at 2am".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1. Your USDM arrives at an address your wallet will not show you</w:t>
      </w:r>
    </w:p>
    <w:p>
      <w:pPr>
        <w:spacing w:after="160"/>
      </w:pPr>
      <w:r>
        <w:rPr/>
        <w:t xml:space="preserve">This one cost me a day, and I suspect it has cost other people their submissions.</w:t>
      </w:r>
    </w:p>
    <w:p>
      <w:pPr>
        <w:spacing w:after="160"/>
      </w:pPr>
      <w:r>
        <w:rPr/>
        <w:t xml:space="preserve">Send USDM from Midnight to Cardano and it will not appear in Lace. The balance does not move. The transfer looks like it failed. It did not fail — the money is at an address your wallet does not watch.</w:t>
      </w:r>
    </w:p>
    <w:p>
      <w:pPr>
        <w:spacing w:after="160"/>
      </w:pPr>
      <w:r>
        <w:rPr/>
        <w:t xml:space="preserve">Here is the mechanism, from VIA's own message spec. The VILR payload has fixed-width fields: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FEFEF"/>
          </w:tcPr>
          <w:p>
            <w:r>
              <w:rPr>
                <w:b/>
              </w:rPr>
              <w:t xml:space="preserve">Offset</w:t>
            </w:r>
          </w:p>
        </w:tc>
        <w:tc>
          <w:tcPr>
            <w:tcW w:w="3120" w:type="dxa"/>
            <w:shd w:val="clear" w:fill="EFEFEF"/>
          </w:tcPr>
          <w:p>
            <w:r>
              <w:rPr>
                <w:b/>
              </w:rPr>
              <w:t xml:space="preserve">Width</w:t>
            </w:r>
          </w:p>
        </w:tc>
        <w:tc>
          <w:tcPr>
            <w:tcW w:w="3120" w:type="dxa"/>
            <w:shd w:val="clear" w:fill="EFEFEF"/>
          </w:tcPr>
          <w:p>
            <w:r>
              <w:rPr>
                <w:b/>
              </w:rPr>
              <w:t xml:space="preserve">Field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76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28</w:t>
            </w:r>
          </w:p>
        </w:tc>
        <w:tc>
          <w:tcPr>
            <w:tcW w:w="3120" w:type="dxa"/>
          </w:tcPr>
          <w:p>
            <w:r>
              <w:rPr>
                <w:rFonts w:ascii="Consolas" w:hAnsi="Consolas"/>
                <w:sz w:val="19"/>
              </w:rPr>
              <w:t xml:space="preserve">source_depositor</w:t>
            </w:r>
            <w:r>
              <w:rPr/>
              <w:t xml:space="preserve"> — payment key hash of the depositor</w:t>
            </w:r>
          </w:p>
        </w:tc>
      </w:tr>
      <w:tr>
        <w:tc>
          <w:tcPr>
            <w:tcW w:w="3120" w:type="dxa"/>
          </w:tcPr>
          <w:p>
            <w:r>
              <w:rPr/>
              <w:t xml:space="preserve">136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32</w:t>
            </w:r>
          </w:p>
        </w:tc>
        <w:tc>
          <w:tcPr>
            <w:tcW w:w="3120" w:type="dxa"/>
          </w:tcPr>
          <w:p>
            <w:r>
              <w:rPr>
                <w:rFonts w:ascii="Consolas" w:hAnsi="Consolas"/>
                <w:sz w:val="19"/>
              </w:rPr>
              <w:t xml:space="preserve">destination_recipient</w:t>
            </w:r>
          </w:p>
        </w:tc>
      </w:tr>
    </w:tbl>
    <w:p>
      <w:pPr>
        <w:spacing w:after="160"/>
      </w:pPr>
    </w:p>
    <w:p>
      <w:pPr>
        <w:spacing w:after="160"/>
      </w:pPr>
      <w:r>
        <w:rPr/>
        <w:t xml:space="preserve">And the rule:</w:t>
      </w:r>
    </w:p>
    <w:p>
      <w:pPr>
        <w:ind w:left="480"/>
        <w:spacing w:after="140"/>
      </w:pPr>
      <w:r>
        <w:rPr>
          <w:rFonts w:ascii="Consolas" w:hAnsi="Consolas"/>
          <w:sz w:val="19"/>
          <w:i/>
        </w:rPr>
        <w:t xml:space="preserve">source_token</w:t>
      </w:r>
      <w:r>
        <w:rPr>
          <w:i/>
        </w:rPr>
        <w:t xml:space="preserve">, </w:t>
      </w:r>
      <w:r>
        <w:rPr>
          <w:rFonts w:ascii="Consolas" w:hAnsi="Consolas"/>
          <w:sz w:val="19"/>
          <w:i/>
        </w:rPr>
        <w:t xml:space="preserve">destination_token</w:t>
      </w:r>
      <w:r>
        <w:rPr>
          <w:i/>
        </w:rPr>
        <w:t xml:space="preserve">, and </w:t>
      </w:r>
      <w:r>
        <w:rPr>
          <w:rFonts w:ascii="Consolas" w:hAnsi="Consolas"/>
          <w:sz w:val="19"/>
          <w:i/>
        </w:rPr>
        <w:t xml:space="preserve">destination_recipient</w:t>
      </w:r>
      <w:r>
        <w:rPr>
          <w:i/>
        </w:rPr>
        <w:t xml:space="preserve"> are each </w:t>
      </w:r>
      <w:r>
        <w:rPr>
          <w:b/>
          <w:i/>
        </w:rPr>
        <w:t xml:space="preserve">exactly 32 bytes. No shorter, no longer.</w:t>
      </w:r>
    </w:p>
    <w:p>
      <w:pPr>
        <w:spacing w:after="160"/>
      </w:pPr>
      <w:r>
        <w:rPr/>
        <w:t xml:space="preserve">A Cardano </w:t>
      </w:r>
      <w:r>
        <w:rPr>
          <w:b/>
        </w:rPr>
        <w:t xml:space="preserve">base</w:t>
      </w:r>
      <w:r>
        <w:rPr/>
        <w:t xml:space="preserve"> address is 57 bytes: a header, a 28-byte payment credential, and a 28-byte stake credential. It does not fit in 32 bytes. What survives is the payment credential — which is exactly what </w:t>
      </w:r>
      <w:r>
        <w:rPr>
          <w:rFonts w:ascii="Consolas" w:hAnsi="Consolas"/>
          <w:sz w:val="19"/>
        </w:rPr>
        <w:t xml:space="preserve">source_depositor</w:t>
      </w:r>
      <w:r>
        <w:rPr/>
        <w:t xml:space="preserve"> is defined as.</w:t>
      </w:r>
    </w:p>
    <w:p>
      <w:pPr>
        <w:spacing w:after="160"/>
      </w:pPr>
      <w:r>
        <w:rPr/>
        <w:t xml:space="preserve">Reconstruct an address from a payment credential with no stake credential and you get an </w:t>
      </w:r>
      <w:r>
        <w:rPr>
          <w:b/>
        </w:rPr>
        <w:t xml:space="preserve">enterprise address</w:t>
      </w:r>
      <w:r>
        <w:rPr/>
        <w:t xml:space="preserve">. Every time. By design.</w:t>
      </w:r>
    </w:p>
    <w:p>
      <w:pPr>
        <w:spacing w:after="160"/>
      </w:pPr>
      <w:r>
        <w:rPr/>
        <w:t xml:space="preserve">So the spec is correct and complete, and the consequence — *your funds land somewhere Lace does not display, and you will think the bridge ate them* — is nowhere.</w:t>
      </w:r>
    </w:p>
    <w:p>
      <w:pPr>
        <w:spacing w:after="160"/>
      </w:pPr>
      <w:r>
        <w:rPr/>
        <w:t xml:space="preserve">I built the derivation into Tender so the app shows both balances side by side: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Cardano Preprod        990.000000 USDM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977.000000 at your wallet address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 13.000000 at your enterprise address</w:t>
      </w:r>
    </w:p>
    <w:p>
      <w:pPr>
        <w:spacing w:after="120"/>
      </w:pPr>
    </w:p>
    <w:p>
      <w:pPr>
        <w:spacing w:after="160"/>
      </w:pPr>
      <w:r>
        <w:rPr/>
        <w:t xml:space="preserve">VIA export </w:t>
      </w:r>
      <w:r>
        <w:rPr>
          <w:rFonts w:ascii="Consolas" w:hAnsi="Consolas"/>
          <w:sz w:val="19"/>
        </w:rPr>
        <w:t xml:space="preserve">getEnterpriseAddress</w:t>
      </w:r>
      <w:r>
        <w:rPr/>
        <w:t xml:space="preserve"> from the package, so they know. If you are building anything user-facing on this, derive it and show it.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2. VIA Scan needs </w:t>
      </w:r>
      <w:r>
        <w:rPr>
          <w:rFonts w:ascii="Consolas" w:hAnsi="Consolas"/>
          <w:sz w:val="19"/>
        </w:rPr>
        <w:t xml:space="preserve">0x</w:t>
      </w:r>
      <w:r>
        <w:rPr/>
        <w:t xml:space="preserve"> on Midnight hashes and refuses it on Cardano ones</w:t>
      </w:r>
    </w:p>
    <w:p>
      <w:pPr>
        <w:spacing w:after="160"/>
      </w:pPr>
      <w:r>
        <w:rPr/>
        <w:t xml:space="preserve">Same transfer, two URLs: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scan.vialabs.tech/tx/3c7daa78…9fda6034      →  Not found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scan.vialabs.tech/tx/0x3c7daa78…9fda6034    →  Delivered</w:t>
      </w:r>
    </w:p>
    <w:p>
      <w:pPr>
        <w:spacing w:after="120"/>
      </w:pPr>
    </w:p>
    <w:p>
      <w:pPr>
        <w:spacing w:after="160"/>
      </w:pPr>
      <w:r>
        <w:rPr/>
        <w:t xml:space="preserve">A Cardano-source hash must be </w:t>
      </w:r>
      <w:r>
        <w:rPr>
          <w:b/>
        </w:rPr>
        <w:t xml:space="preserve">bare</w:t>
      </w:r>
      <w:r>
        <w:rPr/>
        <w:t xml:space="preserve">. A Midnight-source hash must be </w:t>
      </w:r>
      <w:r>
        <w:rPr>
          <w:b/>
        </w:rPr>
        <w:t xml:space="preserve">`0x`-prefixed</w:t>
      </w:r>
      <w:r>
        <w:rPr/>
        <w:t xml:space="preserve">. Get it wrong and Scan tells you the transaction does not exist, on a transfer that completed.</w:t>
      </w:r>
    </w:p>
    <w:p>
      <w:pPr>
        <w:spacing w:after="160"/>
      </w:pPr>
      <w:r>
        <w:rPr/>
        <w:t xml:space="preserve">And one more: </w:t>
      </w:r>
      <w:r>
        <w:rPr>
          <w:b/>
        </w:rPr>
        <w:t xml:space="preserve">VIA Scan opens on Mainnet.</w:t>
      </w:r>
      <w:r>
        <w:rPr/>
        <w:t xml:space="preserve"> Every testnet message is invisible until you flip the network toggle.</w:t>
      </w:r>
    </w:p>
    <w:p>
      <w:pPr>
        <w:spacing w:after="160"/>
      </w:pPr>
      <w:r>
        <w:rPr/>
        <w:t xml:space="preserve">That is three separate ways to conclude a working transfer failed. I wrote one helper and stopped guessing: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function viaScanHref(hash: string, fromMidnight: boolean): string {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  const h = fromMidnight &amp;&amp; !hash.startsWith("0x") ? `0x${hash}` : hash;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  return `${VIA_SCAN}/tx/${h}`;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}</w:t>
      </w:r>
    </w:p>
    <w:p>
      <w:pPr>
        <w:spacing w:after="120"/>
      </w:pP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3. Testnet attests after one block. Mainnet is the fifty-minute one</w:t>
      </w:r>
    </w:p>
    <w:p>
      <w:pPr>
        <w:spacing w:after="160"/>
      </w:pPr>
      <w:r>
        <w:rPr/>
        <w:t xml:space="preserve">The docs say it plainly, but it is easy to read the wrong row:</w:t>
      </w:r>
    </w:p>
    <w:p>
      <w:pPr>
        <w:ind w:left="480"/>
        <w:spacing w:after="140"/>
      </w:pPr>
      <w:r>
        <w:rPr>
          <w:i/>
        </w:rPr>
        <w:t xml:space="preserve">Validators wait for source-chain confirmations before attesting a message: </w:t>
      </w:r>
      <w:r>
        <w:rPr>
          <w:b/>
          <w:i/>
        </w:rPr>
        <w:t xml:space="preserve">1 block on testnet</w:t>
      </w:r>
      <w:r>
        <w:rPr>
          <w:i/>
        </w:rPr>
        <w:t xml:space="preserve">, 150 Cardano blocks (≈50 minutes) on mainnet.</w:t>
      </w:r>
    </w:p>
    <w:p>
      <w:pPr>
        <w:spacing w:after="160"/>
      </w:pPr>
      <w:r>
        <w:rPr/>
        <w:t xml:space="preserve">My fastest Preprod → Preview transfer delivered in </w:t>
      </w:r>
      <w:r>
        <w:rPr>
          <w:b/>
        </w:rPr>
        <w:t xml:space="preserve">1 minute 52 seconds</w:t>
      </w:r>
      <w:r>
        <w:rPr/>
        <w:t xml:space="preserve">. So if you are on testnet and nothing has arrived after ten minutes, something is wrong — do not wait an hour because you saw "~55 min" somewhere.</w:t>
      </w:r>
    </w:p>
    <w:p>
      <w:pPr>
        <w:spacing w:after="160"/>
      </w:pPr>
      <w:r>
        <w:rPr/>
        <w:t xml:space="preserve">Which is how I noticed the next thing.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4. A Compact contract cannot take custody of USDM on Preview today</w:t>
      </w:r>
    </w:p>
    <w:p>
      <w:pPr>
        <w:spacing w:after="160"/>
      </w:pPr>
      <w:r>
        <w:rPr/>
        <w:t xml:space="preserve">Privoice was originally designed to pool USDM inside the contract, so amounts could be hidden outright rather than just unlinked. Before writing it, I tested whether that was possible.</w:t>
      </w:r>
    </w:p>
    <w:p>
      <w:pPr>
        <w:spacing w:after="160"/>
      </w:pPr>
      <w:r>
        <w:rPr/>
        <w:t xml:space="preserve">I put two circuits in </w:t>
      </w:r>
      <w:r>
        <w:rPr>
          <w:b/>
        </w:rPr>
        <w:t xml:space="preserve">one contract</w:t>
      </w:r>
      <w:r>
        <w:rPr/>
        <w:t xml:space="preserve"> — same deploy, same wallet, same DUST state, same block window — differing by a single line: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export circuit bump(): [] {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bumps = (bumps + (1 as Uint&lt;64&gt;)) as Uint&lt;64&gt;;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}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export circuit deposit(color: Bytes&lt;32&gt;, amount: Uint&lt;128&gt;): [] {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receiveUnshielded(disclose(color), disclose(amount));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deposits = (deposits + (1 as Uint&lt;64&gt;)) as Uint&lt;64&gt;;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}</w:t>
      </w:r>
    </w:p>
    <w:p>
      <w:pPr>
        <w:spacing w:after="120"/>
      </w:pPr>
    </w:p>
    <w:p>
      <w:pPr>
        <w:spacing w:after="160"/>
      </w:pPr>
      <w:r>
        <w:rPr/>
        <w:t xml:space="preserve">Contract </w:t>
      </w:r>
      <w:r>
        <w:rPr>
          <w:rFonts w:ascii="Consolas" w:hAnsi="Consolas"/>
          <w:sz w:val="19"/>
        </w:rPr>
        <w:t xml:space="preserve">c755041b16edcde0fb504e8967317d8de0cb2ef6a8593585877cd2a7e9c6e928</w:t>
      </w:r>
      <w:r>
        <w:rPr/>
        <w:t xml:space="preserve"> on Preview: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w="4680" w:type="dxa"/>
            <w:shd w:val="clear" w:fill="EFEFEF"/>
          </w:tcPr>
          <w:p>
            <w:r>
              <w:rPr>
                <w:b/>
              </w:rPr>
              <w:t xml:space="preserve">circuit</w:t>
            </w:r>
          </w:p>
        </w:tc>
        <w:tc>
          <w:tcPr>
            <w:tcW w:w="4680" w:type="dxa"/>
            <w:shd w:val="clear" w:fill="EFEFEF"/>
          </w:tcPr>
          <w:p>
            <w:r>
              <w:rPr>
                <w:b/>
              </w:rPr>
              <w:t xml:space="preserve">result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hAnsi="Consolas"/>
                <w:sz w:val="19"/>
              </w:rPr>
              <w:t xml:space="preserve">bump()</w:t>
            </w:r>
            <w:r>
              <w:rPr/>
              <w:t xml:space="preserve"> — ledger write only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ACCEPTED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hAnsi="Consolas"/>
                <w:sz w:val="19"/>
              </w:rPr>
              <w:t xml:space="preserve">deposit()</w:t>
            </w:r>
            <w:r>
              <w:rPr/>
              <w:t xml:space="preserve"> — ledger write + </w:t>
            </w:r>
            <w:r>
              <w:rPr>
                <w:rFonts w:ascii="Consolas" w:hAnsi="Consolas"/>
                <w:sz w:val="19"/>
              </w:rPr>
              <w:t xml:space="preserve">receiveUnshielded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REJECTED, `Custom(192)`</w:t>
            </w:r>
          </w:p>
        </w:tc>
      </w:tr>
    </w:tbl>
    <w:p>
      <w:pPr>
        <w:spacing w:after="160"/>
      </w:pPr>
    </w:p>
    <w:p>
      <w:pPr>
        <w:spacing w:after="160"/>
      </w:pPr>
      <w:r>
        <w:rPr/>
        <w:t xml:space="preserve">Six attempts, each </w:t>
      </w:r>
      <w:r>
        <w:rPr>
          <w:b/>
        </w:rPr>
        <w:t xml:space="preserve">rebuilt and re-proved from scratch</w:t>
      </w:r>
      <w:r>
        <w:rPr/>
        <w:t xml:space="preserve"> rather than resubmitted, all rejected identically, about forty seconds after the control was accepted from the same wallet.</w:t>
      </w:r>
    </w:p>
    <w:p>
      <w:pPr>
        <w:spacing w:after="160"/>
      </w:pPr>
      <w:r>
        <w:rPr/>
        <w:t xml:space="preserve">Decoding </w:t>
      </w:r>
      <w:r>
        <w:rPr>
          <w:rFonts w:ascii="Consolas" w:hAnsi="Consolas"/>
          <w:sz w:val="19"/>
        </w:rPr>
        <w:t xml:space="preserve">1010: Invalid Transaction: Custom error: 192</w:t>
      </w:r>
      <w:r>
        <w:rPr/>
        <w:t xml:space="preserve"> matters here, so: </w:t>
      </w:r>
      <w:r>
        <w:rPr>
          <w:b/>
        </w:rPr>
        <w:t xml:space="preserve">`1010` is upstream Substrate and carries no Midnight meaning.</w:t>
      </w:r>
      <w:r>
        <w:rPr/>
        <w:t xml:space="preserve"> The cause is the inner </w:t>
      </w:r>
      <w:r>
        <w:rPr>
          <w:rFonts w:ascii="Consolas" w:hAnsi="Consolas"/>
          <w:sz w:val="19"/>
        </w:rPr>
        <w:t xml:space="preserve">u8</w:t>
      </w:r>
      <w:r>
        <w:rPr/>
        <w:t xml:space="preserve">. Look it up in </w:t>
      </w:r>
      <w:r>
        <w:rPr>
          <w:rFonts w:ascii="Consolas" w:hAnsi="Consolas"/>
          <w:sz w:val="19"/>
        </w:rPr>
        <w:t xml:space="preserve">impl From&lt;LedgerApiError&gt; for u8</w:t>
      </w:r>
      <w:r>
        <w:rPr/>
        <w:t xml:space="preserve"> in </w:t>
      </w:r>
      <w:r>
        <w:rPr>
          <w:rFonts w:ascii="Consolas" w:hAnsi="Consolas"/>
          <w:sz w:val="19"/>
        </w:rPr>
        <w:t xml:space="preserve">midnight-node/ledger/src/versions/common/types.rs</w:t>
      </w:r>
      <w:r>
        <w:rPr/>
        <w:t xml:space="preserve"> — not in a blog post, because the mapping changes across ledger versions.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MalformedError::InputsSignaturesLengthMismatch =&gt; 192,</w:t>
      </w:r>
    </w:p>
    <w:p>
      <w:pPr>
        <w:spacing w:after="120"/>
      </w:pPr>
    </w:p>
    <w:p>
      <w:pPr>
        <w:spacing w:after="160"/>
      </w:pPr>
      <w:r>
        <w:rPr>
          <w:rFonts w:ascii="Consolas" w:hAnsi="Consolas"/>
          <w:sz w:val="19"/>
        </w:rPr>
        <w:t xml:space="preserve">192</w:t>
      </w:r>
      <w:r>
        <w:rPr/>
        <w:t xml:space="preserve"> sits in a run of four checks that are all specifically about unshielded inputs and outputs: </w:t>
      </w:r>
      <w:r>
        <w:rPr>
          <w:rFonts w:ascii="Consolas" w:hAnsi="Consolas"/>
          <w:sz w:val="19"/>
        </w:rPr>
        <w:t xml:space="preserve">InputsNotSorted</w:t>
      </w:r>
      <w:r>
        <w:rPr/>
        <w:t xml:space="preserve"> (189), </w:t>
      </w:r>
      <w:r>
        <w:rPr>
          <w:rFonts w:ascii="Consolas" w:hAnsi="Consolas"/>
          <w:sz w:val="19"/>
        </w:rPr>
        <w:t xml:space="preserve">OutputsNotSorted</w:t>
      </w:r>
      <w:r>
        <w:rPr/>
        <w:t xml:space="preserve"> (190), </w:t>
      </w:r>
      <w:r>
        <w:rPr>
          <w:rFonts w:ascii="Consolas" w:hAnsi="Consolas"/>
          <w:sz w:val="19"/>
        </w:rPr>
        <w:t xml:space="preserve">DuplicateInputs</w:t>
      </w:r>
      <w:r>
        <w:rPr/>
        <w:t xml:space="preserve"> (191), </w:t>
      </w:r>
      <w:r>
        <w:rPr>
          <w:rFonts w:ascii="Consolas" w:hAnsi="Consolas"/>
          <w:sz w:val="19"/>
        </w:rPr>
        <w:t xml:space="preserve">InputsSignaturesLengthMismatch</w:t>
      </w:r>
      <w:r>
        <w:rPr/>
        <w:t xml:space="preserve"> (192).</w:t>
      </w:r>
    </w:p>
    <w:p>
      <w:pPr>
        <w:spacing w:after="160"/>
      </w:pPr>
      <w:r>
        <w:rPr/>
        <w:t xml:space="preserve">So Privoice settles at the </w:t>
      </w:r>
      <w:r>
        <w:rPr>
          <w:b/>
        </w:rPr>
        <w:t xml:space="preserve">application layer</w:t>
      </w:r>
      <w:r>
        <w:rPr/>
        <w:t xml:space="preserve"> — the contract records that settlement happened and never touches the token. That is a measured constraint, not a design preference, and the README says so with both contract addresses.</w:t>
      </w:r>
    </w:p>
    <w:p>
      <w:pPr>
        <w:spacing w:after="160"/>
      </w:pPr>
      <w:r>
        <w:rPr/>
        <w:t xml:space="preserve">Worth knowing if you are designing anything that wants a contract to hold USDM.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5. Unshielded inputs each need a signature, and forgetting it lands you on 192 too</w:t>
      </w:r>
    </w:p>
    <w:p>
      <w:pPr>
        <w:spacing w:after="160"/>
      </w:pPr>
      <w:r>
        <w:rPr/>
        <w:t xml:space="preserve">Related, and the practical version of the above. When you move USDM wallet-to-wallet with the SDK, the recipe must be </w:t>
      </w:r>
      <w:r>
        <w:rPr>
          <w:b/>
        </w:rPr>
        <w:t xml:space="preserve">signed before it is finalised</w:t>
      </w:r>
      <w:r>
        <w:rPr/>
        <w:t xml:space="preserve">: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const recipe = await facade.transferTransaction(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[{ type: "unshielded", outputs: [{ amount, type: USDM_TOKEN_COLOR, receiverAddress }] }],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{ shieldedSecretKeys, dustSecretKey },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 { ttl, payFees: true },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);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const signed    = await facade.signRecipe(recipe, (d) =&gt; keystore.signData(d));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const finalized = await facade.finalizeRecipe(signed);</w:t>
      </w:r>
    </w:p>
    <w:p>
      <w:pPr>
        <w:spacing w:after="0"/>
        <w:shd w:val="clear" w:fill="F4F4F4"/>
      </w:pPr>
      <w:r>
        <w:rPr>
          <w:rFonts w:ascii="Consolas" w:hAnsi="Consolas"/>
          <w:sz w:val="18"/>
        </w:rPr>
        <w:t xml:space="preserve">const txId      = await facade.submitTransaction(finalized);</w:t>
      </w:r>
    </w:p>
    <w:p>
      <w:pPr>
        <w:spacing w:after="120"/>
      </w:pPr>
    </w:p>
    <w:p>
      <w:pPr>
        <w:spacing w:after="160"/>
      </w:pPr>
      <w:r>
        <w:rPr/>
        <w:t xml:space="preserve">Skip </w:t>
      </w:r>
      <w:r>
        <w:rPr>
          <w:rFonts w:ascii="Consolas" w:hAnsi="Consolas"/>
          <w:sz w:val="19"/>
        </w:rPr>
        <w:t xml:space="preserve">signRecipe</w:t>
      </w:r>
      <w:r>
        <w:rPr/>
        <w:t xml:space="preserve"> and the transaction reaches the node with fewer signatures than inputs — and you get </w:t>
      </w:r>
      <w:r>
        <w:rPr>
          <w:rFonts w:ascii="Consolas" w:hAnsi="Consolas"/>
          <w:sz w:val="19"/>
        </w:rPr>
        <w:t xml:space="preserve">Custom(192)</w:t>
      </w:r>
      <w:r>
        <w:rPr/>
        <w:t xml:space="preserve"> again, from a completely different cause than the contract case above. Same code, same error, unrelated bug.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Two smaller ones, for whoever hits them next</w:t>
      </w:r>
    </w:p>
    <w:p>
      <w:pPr>
        <w:spacing w:after="160"/>
      </w:pPr>
      <w:r>
        <w:rPr>
          <w:b/>
        </w:rPr>
        <w:t xml:space="preserve">DUST is not automatic.</w:t>
      </w:r>
      <w:r>
        <w:rPr/>
        <w:t xml:space="preserve"> Holding NIGHT does not generate DUST. It must be </w:t>
      </w:r>
      <w:r>
        <w:rPr>
          <w:b/>
        </w:rPr>
        <w:t xml:space="preserve">registered</w:t>
      </w:r>
      <w:r>
        <w:rPr/>
        <w:t xml:space="preserve">. My wallet and my probe both read zero until I registered, and nothing tells you that is why.</w:t>
      </w:r>
    </w:p>
    <w:p>
      <w:pPr>
        <w:spacing w:after="160"/>
      </w:pPr>
      <w:r>
        <w:rPr>
          <w:b/>
        </w:rPr>
        <w:t xml:space="preserve">The DUST wallet syncs separately, and far more slowly.</w:t>
      </w:r>
      <w:r>
        <w:rPr/>
        <w:t xml:space="preserve"> Most sync helpers wait on </w:t>
      </w:r>
      <w:r>
        <w:rPr>
          <w:rFonts w:ascii="Consolas" w:hAnsi="Consolas"/>
          <w:sz w:val="19"/>
        </w:rPr>
        <w:t xml:space="preserve">state.unshielded.progress</w:t>
      </w:r>
      <w:r>
        <w:rPr/>
        <w:t xml:space="preserve">, which catches up in about a second — then declare success while dust sits at 42 of 183,000 events. A zero DUST balance in that state is correct, not a fault. Wait on </w:t>
      </w:r>
      <w:r>
        <w:rPr>
          <w:rFonts w:ascii="Consolas" w:hAnsi="Consolas"/>
          <w:sz w:val="19"/>
        </w:rPr>
        <w:t xml:space="preserve">state.dust.progress</w:t>
      </w:r>
      <w:r>
        <w:rPr/>
        <w:t xml:space="preserve"> explicitly, and save a checkpoint afterwards or you pay the cold sync every run.</w:t>
      </w:r>
    </w:p>
    <w:p>
      <w:pPr>
        <w:pBdr>
          <w:bottom w:val="single" w:sz="6" w:color="BBBBBB"/>
        </w:pBdr>
        <w:spacing w:before="160" w:after="200"/>
      </w:pPr>
    </w:p>
    <w:p>
      <w:pPr>
        <w:pStyle w:val="Heading2"/>
      </w:pPr>
      <w:r>
        <w:rPr/>
        <w:t xml:space="preserve">What I ended up with</w:t>
      </w:r>
    </w:p>
    <w:p>
      <w:pPr>
        <w:spacing w:after="160"/>
      </w:pPr>
      <w:r>
        <w:rPr>
          <w:b/>
        </w:rPr>
        <w:t xml:space="preserve">[Tender](https://github.com/tomiin/tender-usdm)</w:t>
      </w:r>
      <w:r>
        <w:rPr/>
        <w:t xml:space="preserve"> — eight transfers, both directions, three of them signed in Lace rather than by the service. Enterprise-address derivation and correct explorer links built in.</w:t>
      </w:r>
    </w:p>
    <w:p>
      <w:pPr>
        <w:spacing w:after="160"/>
      </w:pPr>
      <w:r>
        <w:rPr>
          <w:b/>
        </w:rPr>
        <w:t xml:space="preserve">[Privoice](https://github.com/tomiin/privoice)</w:t>
      </w:r>
      <w:r>
        <w:rPr/>
        <w:t xml:space="preserve"> — a Compact contract where only </w:t>
      </w:r>
      <w:r>
        <w:rPr>
          <w:rFonts w:ascii="Consolas" w:hAnsi="Consolas"/>
          <w:sz w:val="19"/>
        </w:rPr>
        <w:t xml:space="preserve">persistentHash(amount, payer, memo, salt)</w:t>
      </w:r>
      <w:r>
        <w:rPr/>
        <w:t xml:space="preserve"> goes on chain. The payer proves an invoice names them by reconstructing a commitment that matches, so identity is demonstrated rather than asserted. Deployed on Preview with </w:t>
      </w:r>
      <w:r>
        <w:rPr>
          <w:rFonts w:ascii="Consolas" w:hAnsi="Consolas"/>
          <w:sz w:val="19"/>
        </w:rPr>
        <w:t xml:space="preserve">issue → acknowledge → pay → settle</w:t>
      </w:r>
      <w:r>
        <w:rPr/>
        <w:t xml:space="preserve">, all four accepted.</w:t>
      </w:r>
    </w:p>
    <w:p>
      <w:pPr>
        <w:spacing w:after="160"/>
      </w:pPr>
      <w:r>
        <w:rPr/>
        <w:t xml:space="preserve">Both repos have the full working code, the failed experiments, and the addresses to check any of this yourself.</w:t>
      </w:r>
    </w:p>
    <w:p>
      <w:pPr>
        <w:spacing w:after="160"/>
      </w:pPr>
      <w:r>
        <w:rPr/>
        <w:t xml:space="preserve">If you are starting on this today: derive the enterprise address, put </w:t>
      </w:r>
      <w:r>
        <w:rPr>
          <w:rFonts w:ascii="Consolas" w:hAnsi="Consolas"/>
          <w:sz w:val="19"/>
        </w:rPr>
        <w:t xml:space="preserve">0x</w:t>
      </w:r>
      <w:r>
        <w:rPr/>
        <w:t xml:space="preserve"> on your Midnight hashes, register your NIGHT, and read error codes from </w:t>
      </w:r>
      <w:r>
        <w:rPr>
          <w:rFonts w:ascii="Consolas" w:hAnsi="Consolas"/>
          <w:sz w:val="19"/>
        </w:rPr>
        <w:t xml:space="preserve">types.rs</w:t>
      </w:r>
      <w:r>
        <w:rPr/>
        <w:t xml:space="preserve">. That is most of the day I lost, in one line.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keepNext/>
      <w:spacing w:before="0" w:after="120"/>
    </w:pPr>
    <w:rPr>
      <w:b/>
      <w:sz w:val="40"/>
    </w:rPr>
  </w:style>
  <w:style w:type="paragraph" w:styleId="Heading2">
    <w:name w:val="heading 2"/>
    <w:pPr>
      <w:keepNext/>
      <w:spacing w:before="360" w:after="120"/>
    </w:pPr>
    <w:rPr>
      <w:b/>
      <w:sz w:val="28"/>
    </w:rPr>
  </w:style>
  <w:style w:type="paragraph" w:styleId="Heading3">
    <w:name w:val="heading 3"/>
    <w:pPr>
      <w:keepNext/>
      <w:spacing w:before="280" w:after="12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