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Задача №1 - Конституция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</w:t>
        <w:tab/>
        <w:t xml:space="preserve">основании чего может быть ограничено право на тайну переписки или телефонных переговоров?</w:t>
        <w:br w:type="textWrapping"/>
        <w:t xml:space="preserve"> В </w:t>
        <w:tab/>
        <w:t xml:space="preserve">соответствии с частью </w:t>
        <w:tab/>
        <w:t xml:space="preserve">2 статьи 23 Конституции РФ, ограничение права на тайну переписки, телефонных переговоров, почтовых, телеграфных и иных сообщений допускается только на основании судебного решения.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каких целях могут быть ограничены права и свободы гражданина и человека?</w:t>
      </w:r>
    </w:p>
    <w:p w:rsidR="00000000" w:rsidDel="00000000" w:rsidP="00000000" w:rsidRDefault="00000000" w:rsidRPr="00000000" w14:paraId="00000005">
      <w:pPr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Согласно части 3 статьи 55 Конституции РФ, права и свободы человека и гражданина могут быть ограничены федеральным законом только в той мере, в какой это необходимо в целях: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защиты основ конституционного строя;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защиты нравственности;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защиты здоровья, прав и законных интересов других лиц;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обеспечения обороны страны и безопасности государства.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Задача №2 - "Взламывать вместе – всегда веселее!"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Ответственность за нарушения законодательства прописана в Федеральных Законах и Кодексах (Административном, Уголовном и других).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рамках</w:t>
      </w:r>
      <w:hyperlink r:id="rId7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 УК РФ</w:t>
        </w:r>
      </w:hyperlink>
      <w:r w:rsidDel="00000000" w:rsidR="00000000" w:rsidRPr="00000000">
        <w:rPr>
          <w:sz w:val="24"/>
          <w:szCs w:val="24"/>
          <w:rtl w:val="0"/>
        </w:rPr>
        <w:t xml:space="preserve">, а именно раздела</w:t>
      </w:r>
      <w:hyperlink r:id="rId8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 "Преступления против общественной безопасности и общественного порядка"</w:t>
        </w:r>
      </w:hyperlink>
      <w:r w:rsidDel="00000000" w:rsidR="00000000" w:rsidRPr="00000000">
        <w:rPr>
          <w:sz w:val="24"/>
          <w:szCs w:val="24"/>
          <w:rtl w:val="0"/>
        </w:rPr>
        <w:t xml:space="preserve"> главы 28</w:t>
      </w:r>
      <w:hyperlink r:id="rId9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 "Преступления в сфере компьютерной информации"</w:t>
        </w:r>
      </w:hyperlink>
      <w:r w:rsidDel="00000000" w:rsidR="00000000" w:rsidRPr="00000000">
        <w:rPr>
          <w:sz w:val="24"/>
          <w:szCs w:val="24"/>
          <w:rtl w:val="0"/>
        </w:rPr>
        <w:t xml:space="preserve"> описана ответственность за неправомерный доступ к охраняемой законом компьютерной информации (обратите внимание: именно компьютерной - в той же статье вы найдёте определение этого термина), если это деяние повлекло уничтожение, блокирование, модификацию либо копирование компьютерной информации.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Ответьте на вопрос: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какова ответственность за это деяние и от чего она зависит?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 на данный вопрос содержится в статье 272 Уголовного кодекса РФ «Неправомерный доступ к компьютерной информации» (глава 28, раздел IX УК РФ). Ответственность за это деяние варьируется в зависимости от нескольких факторов: наличия квалифицирующих признаков, тяжести последствий, а также от того, было ли преступление совершено группой лиц или с использованием служебного положения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Ответственность по ст. 272 УК РФ в зависимости от состава преступления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Часть 1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Неправомерный доступ, повлекший уничтожение, блокирование, модификацию либо копирование компьютерной информации: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Штраф до 200 тыс. руб. или в размере дохода за период до 18 мес.</w:t>
        <w:br w:type="textWrapping"/>
        <w:t xml:space="preserve">• Исправительные работы до 1 года</w:t>
        <w:br w:type="textWrapping"/>
        <w:t xml:space="preserve">• Ограничение свободы до 2 лет</w:t>
        <w:br w:type="textWrapping"/>
        <w:t xml:space="preserve">• Принудительные работы до 2 лет</w:t>
        <w:br w:type="textWrapping"/>
        <w:t xml:space="preserve">• Лишение свободы до 2 лет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Часть 2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Деяние, предусмотренное ч. 1, но совершенное группой лиц по предварительному сговору или организованной группой: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Штраф до 300 тыс. руб. или в размере дохода за период до 2 лет</w:t>
        <w:br w:type="textWrapping"/>
        <w:t xml:space="preserve">• Принудительные работы до 4 лет</w:t>
        <w:br w:type="textWrapping"/>
        <w:t xml:space="preserve">• Лишение свободы до 4 лет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Часть 3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Деяния, предусмотренные ч. 1 или 2, совершенные лицом с использованием своего служебного положения: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Штраф до 500 тыс. руб. или в размере дохода за период до 3 лет</w:t>
        <w:br w:type="textWrapping"/>
        <w:t xml:space="preserve">• Лишение права занимать определенные должности до 3 лет</w:t>
        <w:br w:type="textWrapping"/>
        <w:t xml:space="preserve">• Принудительные работы до 5 лет</w:t>
        <w:br w:type="textWrapping"/>
        <w:t xml:space="preserve">• Лишение свободы до 5 лет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Часть 4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Деяния, предусмотренные ч. 1, 2 или 3, если они повлекли тяжкие последствия или создали угрозу их наступления: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Лишение свободы до 7 лет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Задача № 3 - Закон "Об информации, информационных технологиях и защите информации"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рамках закона вводится понятие "Конфиденциальность информации", приведите его определение.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рамках Федерального закона № 149-ФЗ «конфиденциальность информации» определяется как обязательное для выполнения лицом, получившим доступ к определенной информации, требование не передавать такую информацию третьим лицам без согласия ее обладателя.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Простыми словами, если информация является конфиденциальной, то человек, который ее получил (например, сотрудник компании или государственный служащий), не имеет права делиться ею с посторонними, если только владелец этой информации прямо не разрешил это сделать. Это ключевое правило для соблюдения режима коммерческой, служебной, врачебной, адвокатской и иной охраняемой законом тайны.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Чем предоставление информации отличается от распространения информации?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Ключевое различие между этими двумя понятиями (закрепленными в пунктах 8 и 9 статьи 2 закона) заключается в широте охвата получателей информации.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Определение: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Предоставление информации - действия, направленные на получение или передачу информации определенному кругу лиц.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Распространение информации - действия, направленные на получение или передачу информации неопределенному кругу лиц.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Ключевое отличие: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Предоставление информации: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Получатель информации заранее известен (конкретный человек, группа лиц, организация).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Распространение информации: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Получатель информации заранее не известен (любой желающий).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Сохранение каких трёх ключевых аспектов подразумевается в термине "Информационная безопасность"?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Конфиденциальность — обязательное условие, при котором доступ к информации имеют только уполномоченные лица (ее обладатель, лица, получившие права доступа) и не имеют доступа третьи лица.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Целостность — защита информации от уничтожения, модифицирования (изменения) или блокирования, то есть обеспечение ее существования в неизменном, исходном виде.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Доступность — обеспечение возможности получения и использования информации законными пользователями (владельцами, уполномоченными лицами) в любое необходимое время.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Задача № 4 - Конфиденциальность, доступность, целостность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данном инциденте были нарушена конфиденциальность.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Была нарушена конфиденциальность, потому что злоумышленник неправомерно получил доступ к охраняемой законом информации — персональным данным (ФИО и номер телефона клиента), а затем обманным путем узнал данные для входа в интернет-банк (логин и пароль). Факт утечки и последующего несанкционированного получения учетных данных означает, что информация стала доступна лицу, не имеющему на это права.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Целостность не нарушена, потому что ни ФИО, ни номера телефонов, ни данные для входа в интернет-банк не были изменены (модифицированы) или уничтожены злоумышленником — они остались в исходном виде как у клиента, так и в базе банка. Попытка перевода средств — это действие с денежными средствами, а не модификация самой компьютерной информации (логинов, паролей, ФИО, номеров телефонов).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Доступность не нарушена, потому что клиент банка по-прежнему может зайти в свой интернет-банк, используя свои данные, и распоряжаться счетом (карта и учетная запись не заблокированы). Доступ к информации для законного пользователя сохранен в полном объеме.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ase.garant.ru/10108000/42bb11d7291ec544e2ec2604179c0da1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ase.garant.ru/10108000/" TargetMode="External"/><Relationship Id="rId8" Type="http://schemas.openxmlformats.org/officeDocument/2006/relationships/hyperlink" Target="https://base.garant.ru/10108000/d67615e380180e02ecd5ecde81a784b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167G0zQ43BdxRmukvMOPBU0cw==">CgMxLjA4AHIhMTlQNHNZU2dxOTcwc0JpR2VUamFldHh6YkRJREIxdk9W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