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2e616cd1c401679cad9ac7d3e3f945c24ef898"/>
      <w:r>
        <w:t xml:space="preserve">ExpenseGuard — a confidential expense-compliance agent on T3N</w:t>
      </w:r>
      <w:bookmarkEnd w:id="20"/>
    </w:p>
    <w:p>
      <w:pPr>
        <w:pStyle w:val="FirstParagraph"/>
      </w:pPr>
      <w:r>
        <w:rPr>
          <w:b/>
        </w:rPr>
        <w:t xml:space="preserve">T3N Agent Build Challenge submission.</w:t>
      </w:r>
      <w:r>
        <w:t xml:space="preserve"> </w:t>
      </w:r>
      <w:r>
        <w:t xml:space="preserve">Repository: https://github.com/tomirahman/t3n-expense-guard · Demo transcript:</w:t>
      </w:r>
      <w:r>
        <w:t xml:space="preserve"> </w:t>
      </w:r>
      <w:r>
        <w:rPr>
          <w:rStyle w:val="VerbatimChar"/>
        </w:rPr>
        <w:t xml:space="preserve">client/demo-output/&lt;TIMESTAMP&gt;-invoke.json</w:t>
      </w:r>
    </w:p>
    <w:p>
      <w:pPr>
        <w:pStyle w:val="BodyText"/>
      </w:pPr>
      <w:r>
        <w:t xml:space="preserve">ExpenseGuard is an enterprise expense/invoice compliance agent whose policy, decision and audit trail never leave an attested enclave. It is a T3N TEE contract written in Rust, compiled to a WASM/WIT component, registered on T3N testnet, and driven end-to-end by an agent that holds its own scoped delegation.</w:t>
      </w:r>
    </w:p>
    <w:p>
      <w:pPr>
        <w:pStyle w:val="Heading2"/>
      </w:pPr>
      <w:bookmarkStart w:id="21" w:name="the-problem-it-solves"/>
      <w:r>
        <w:t xml:space="preserve">The problem it solves</w:t>
      </w:r>
      <w:bookmarkEnd w:id="21"/>
    </w:p>
    <w:p>
      <w:pPr>
        <w:pStyle w:val="FirstParagraph"/>
      </w:pPr>
      <w:r>
        <w:t xml:space="preserve">Every company above a few dozen employees runs the same loop: an employee submits an expense, a rulebook decides whether it is allowed, and the result lands in an audit trail. Both halves are sensitive. The rulebook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company’s internal control environment — category limits, approval thresholds, vendor restrictions — and the ledger contains employees, vendors and amounts. Today that lives in a SaaS database where the vendor, and anyone who compromises them, can read all of it. Regulated buyers (finance, healthcare, defence) cannot put it there at all.</w:t>
      </w:r>
    </w:p>
    <w:p>
      <w:pPr>
        <w:pStyle w:val="BodyText"/>
      </w:pPr>
      <w:r>
        <w:t xml:space="preserve">Putting the rulebook and the ledger inside a TEE changes the trust story: the policy is enforced by code running in an enclave, the audit record is written there, and neither is visible to the host, the operator, or the platform.</w:t>
      </w:r>
    </w:p>
    <w:p>
      <w:pPr>
        <w:pStyle w:val="Heading2"/>
      </w:pPr>
      <w:bookmarkStart w:id="22" w:name="what-actually-runs"/>
      <w:r>
        <w:t xml:space="preserve">What actually runs</w:t>
      </w:r>
      <w:bookmarkEnd w:id="22"/>
    </w:p>
    <w:p>
      <w:pPr>
        <w:pStyle w:val="FirstParagraph"/>
      </w:pPr>
      <w:r>
        <w:t xml:space="preserve">The contract (</w:t>
      </w:r>
      <w:r>
        <w:rPr>
          <w:rStyle w:val="VerbatimChar"/>
        </w:rPr>
        <w:t xml:space="preserve">contract/</w:t>
      </w:r>
      <w:r>
        <w:t xml:space="preserve">, Rust →</w:t>
      </w:r>
      <w:r>
        <w:t xml:space="preserve"> </w:t>
      </w:r>
      <w:r>
        <w:rPr>
          <w:rStyle w:val="VerbatimChar"/>
        </w:rPr>
        <w:t xml:space="preserve">z_expense_guard.wasm</w:t>
      </w:r>
      <w:r>
        <w:t xml:space="preserve">) exports six functions and holds all of the above: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health</w:t>
            </w:r>
          </w:p>
        </w:tc>
        <w:tc>
          <w:p>
            <w:pPr>
              <w:pStyle w:val="Compact"/>
              <w:jc w:val="left"/>
            </w:pPr>
            <w:r>
              <w:t xml:space="preserve">liveness + the enclave’s view of the contract identity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get-policy</w:t>
            </w:r>
          </w:p>
        </w:tc>
        <w:tc>
          <w:p>
            <w:pPr>
              <w:pStyle w:val="Compact"/>
              <w:jc w:val="left"/>
            </w:pPr>
            <w:r>
              <w:t xml:space="preserve">the rulebook: base currency, approval threshold, default and per-category limits, duplicate window, FX cache TTL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check-expense</w:t>
            </w:r>
          </w:p>
        </w:tc>
        <w:tc>
          <w:p>
            <w:pPr>
              <w:pStyle w:val="Compact"/>
              <w:jc w:val="left"/>
            </w:pPr>
            <w:r>
              <w:t xml:space="preserve">evaluates one expense against the policy and returns a verdict with the rule ids that fired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request-approval</w:t>
            </w:r>
          </w:p>
        </w:tc>
        <w:tc>
          <w:p>
            <w:pPr>
              <w:pStyle w:val="Compact"/>
              <w:jc w:val="left"/>
            </w:pPr>
            <w:r>
              <w:t xml:space="preserve">posts the flagged expense to the configured webhook — through the host’s HTTP egress, with</w:t>
            </w:r>
            <w:r>
              <w:t xml:space="preserve"> </w:t>
            </w:r>
            <w:r>
              <w:rPr>
                <w:rStyle w:val="VerbatimChar"/>
              </w:rPr>
              <w:t xml:space="preserve">{{profile.*}}</w:t>
            </w:r>
            <w:r>
              <w:t xml:space="preserve"> </w:t>
            </w:r>
            <w:r>
              <w:t xml:space="preserve">placeholders resolved</w:t>
            </w:r>
            <w:r>
              <w:t xml:space="preserve"> </w:t>
            </w:r>
            <w:r>
              <w:rPr>
                <w:i/>
              </w:rPr>
              <w:t xml:space="preserve">inside</w:t>
            </w:r>
            <w:r>
              <w:t xml:space="preserve"> </w:t>
            </w:r>
            <w:r>
              <w:t xml:space="preserve">the enclave so PII never enters contract memory. Covered by 15 unit tests; not part of the committed demo transcript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get-audit</w:t>
            </w:r>
          </w:p>
        </w:tc>
        <w:tc>
          <w:p>
            <w:pPr>
              <w:pStyle w:val="Compact"/>
              <w:jc w:val="left"/>
            </w:pPr>
            <w:r>
              <w:t xml:space="preserve">the append-only ledger inside the TEE</w:t>
            </w:r>
          </w:p>
        </w:tc>
      </w:tr>
    </w:tbl>
    <w:p>
      <w:pPr>
        <w:pStyle w:val="BodyText"/>
      </w:pPr>
      <w:r>
        <w:t xml:space="preserve">Five T3N host capabilities carry the weight, and each one is load-bearing rather than decorative: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kv-store</w:t>
      </w:r>
      <w:r>
        <w:t xml:space="preserve"> </w:t>
      </w:r>
      <w:r>
        <w:t xml:space="preserve">— the policy, the audit ledger, the FX cache and the webhook URL. Maps are namespaced</w:t>
      </w:r>
      <w:r>
        <w:t xml:space="preserve"> </w:t>
      </w:r>
      <w:r>
        <w:rPr>
          <w:rStyle w:val="VerbatimChar"/>
        </w:rPr>
        <w:t xml:space="preserve">z:&lt;tid&gt;:&lt;tail&gt;</w:t>
      </w:r>
      <w:r>
        <w:t xml:space="preserve"> </w:t>
      </w:r>
      <w:r>
        <w:t xml:space="preserve">and ACL’d so only the contract can write them.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http</w:t>
      </w:r>
      <w:r>
        <w:rPr>
          <w:b/>
        </w:rPr>
        <w:t xml:space="preserve"> </w:t>
      </w:r>
      <w:r>
        <w:rPr>
          <w:b/>
        </w:rPr>
        <w:t xml:space="preserve">+</w:t>
      </w:r>
      <w:r>
        <w:rPr>
          <w:b/>
        </w:rPr>
        <w:t xml:space="preserve"> </w:t>
      </w:r>
      <w:r>
        <w:rPr>
          <w:rStyle w:val="VerbatimChar"/>
          <w:b/>
        </w:rPr>
        <w:t xml:space="preserve">http-with-placeholders</w:t>
      </w:r>
      <w:r>
        <w:t xml:space="preserve"> </w:t>
      </w:r>
      <w:r>
        <w:t xml:space="preserve">— live FX rates from</w:t>
      </w:r>
      <w:r>
        <w:t xml:space="preserve"> </w:t>
      </w:r>
      <w:r>
        <w:rPr>
          <w:rStyle w:val="VerbatimChar"/>
        </w:rPr>
        <w:t xml:space="preserve">open.er-api.com</w:t>
      </w:r>
      <w:r>
        <w:t xml:space="preserve">, and the approval webhook. This is why the FX conversion cannot be faked by the caller: the rate is fetched by the enclave, not supplied by the agent.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tenant-context</w:t>
      </w:r>
      <w:r>
        <w:t xml:space="preserve"> </w:t>
      </w:r>
      <w:r>
        <w:t xml:space="preserve">— the contract learns which tenant it is running for.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logging</w:t>
      </w:r>
      <w:r>
        <w:t xml:space="preserve"> </w:t>
      </w:r>
      <w:r>
        <w:t xml:space="preserve">— host-side logs, deliberately free of expense contents.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token</w:t>
      </w:r>
      <w:r>
        <w:rPr>
          <w:b/>
        </w:rPr>
        <w:t xml:space="preserve"> </w:t>
      </w:r>
      <w:r>
        <w:rPr>
          <w:b/>
        </w:rPr>
        <w:t xml:space="preserve">/</w:t>
      </w:r>
      <w:r>
        <w:rPr>
          <w:b/>
        </w:rPr>
        <w:t xml:space="preserve"> </w:t>
      </w:r>
      <w:r>
        <w:rPr>
          <w:rStyle w:val="VerbatimChar"/>
          <w:b/>
        </w:rPr>
        <w:t xml:space="preserve">ledger</w:t>
      </w:r>
      <w:r>
        <w:t xml:space="preserve"> </w:t>
      </w:r>
      <w:r>
        <w:t xml:space="preserve">— metering, so an enterprise can price this per decision.</w:t>
      </w:r>
    </w:p>
    <w:p>
      <w:pPr>
        <w:pStyle w:val="Heading2"/>
      </w:pPr>
      <w:bookmarkStart w:id="23" w:name="the-authority-model"/>
      <w:r>
        <w:t xml:space="preserve">The authority model</w:t>
      </w:r>
      <w:bookmarkEnd w:id="23"/>
    </w:p>
    <w:p>
      <w:pPr>
        <w:pStyle w:val="FirstParagraph"/>
      </w:pPr>
      <w:r>
        <w:t xml:space="preserve">Three credentials, three jobs, no shared blast radius: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Credential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tenant</w:t>
            </w:r>
          </w:p>
        </w:tc>
        <w:tc>
          <w:p>
            <w:pPr>
              <w:pStyle w:val="Compact"/>
              <w:jc w:val="left"/>
            </w:pPr>
            <w:r>
              <w:t xml:space="preserve">private key</w:t>
            </w:r>
          </w:p>
        </w:tc>
        <w:tc>
          <w:p>
            <w:pPr>
              <w:pStyle w:val="Compact"/>
              <w:jc w:val="left"/>
            </w:pPr>
            <w:r>
              <w:t xml:space="preserve">registers the contract, creates the maps, seeds the policy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 (data owner)</w:t>
            </w:r>
          </w:p>
        </w:tc>
        <w:tc>
          <w:p>
            <w:pPr>
              <w:pStyle w:val="Compact"/>
              <w:jc w:val="left"/>
            </w:pPr>
            <w:r>
              <w:t xml:space="preserve">private key</w:t>
            </w:r>
          </w:p>
        </w:tc>
        <w:tc>
          <w:p>
            <w:pPr>
              <w:pStyle w:val="Compact"/>
              <w:jc w:val="left"/>
            </w:pPr>
            <w:r>
              <w:t xml:space="preserve">signs one scoped delegation grant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p>
            <w:pPr>
              <w:pStyle w:val="Compact"/>
              <w:jc w:val="left"/>
            </w:pPr>
            <w:r>
              <w:t xml:space="preserve">opaque</w:t>
            </w:r>
            <w:r>
              <w:t xml:space="preserve"> </w:t>
            </w:r>
            <w:r>
              <w:rPr>
                <w:rStyle w:val="VerbatimChar"/>
              </w:rPr>
              <w:t xml:space="preserve">t3n_key_…</w:t>
            </w:r>
            <w:r>
              <w:t xml:space="preserve"> </w:t>
            </w:r>
            <w:r>
              <w:t xml:space="preserve">bearer token</w:t>
            </w:r>
          </w:p>
        </w:tc>
        <w:tc>
          <w:p>
            <w:pPr>
              <w:pStyle w:val="Compact"/>
              <w:jc w:val="left"/>
            </w:pPr>
            <w:r>
              <w:t xml:space="preserve">can call exactly six functions on exactly one contract, with egress to exactly two hosts</w:t>
            </w:r>
          </w:p>
        </w:tc>
      </w:tr>
    </w:tbl>
    <w:p>
      <w:pPr>
        <w:pStyle w:val="BodyText"/>
      </w:pPr>
      <w:r>
        <w:t xml:space="preserve">The agent’s credential is not a private key and never touches the session handshake: it goes to the invoke endpoint in an</w:t>
      </w:r>
      <w:r>
        <w:t xml:space="preserve"> </w:t>
      </w:r>
      <w:r>
        <w:rPr>
          <w:rStyle w:val="VerbatimChar"/>
        </w:rPr>
        <w:t xml:space="preserve">X-T3N-Api-Key</w:t>
      </w:r>
      <w:r>
        <w:t xml:space="preserve"> </w:t>
      </w:r>
      <w:r>
        <w:t xml:space="preserve">header, and the contract’s private material is generated inside the enclave and never leaves it.</w:t>
      </w:r>
    </w:p>
    <w:p>
      <w:pPr>
        <w:pStyle w:val="BodyText"/>
      </w:pPr>
      <w:r>
        <w:t xml:space="preserve">Each agent call also names the identity it acts</w:t>
      </w:r>
      <w:r>
        <w:t xml:space="preserve"> </w:t>
      </w:r>
      <w:r>
        <w:rPr>
          <w:i/>
        </w:rPr>
        <w:t xml:space="preserve">for</w:t>
      </w:r>
      <w:r>
        <w:t xml:space="preserve"> </w:t>
      </w:r>
      <w:r>
        <w:t xml:space="preserve">(</w:t>
      </w:r>
      <w:r>
        <w:rPr>
          <w:rStyle w:val="VerbatimChar"/>
        </w:rPr>
        <w:t xml:space="preserve">pii_did</w:t>
      </w:r>
      <w:r>
        <w:t xml:space="preserve"> </w:t>
      </w:r>
      <w:r>
        <w:t xml:space="preserve">= the delegator).</w:t>
      </w:r>
      <w:r>
        <w:t xml:space="preserve"> </w:t>
      </w:r>
      <w:r>
        <w:t xml:space="preserve">That is not decoration: the enclave resolves the contract’s outbound-host allowlist</w:t>
      </w:r>
      <w:r>
        <w:t xml:space="preserve"> </w:t>
      </w:r>
      <w:r>
        <w:t xml:space="preserve">per call from that identity’s grant, and a call that names nobody is treated as a</w:t>
      </w:r>
      <w:r>
        <w:t xml:space="preserve"> </w:t>
      </w:r>
      <w:r>
        <w:t xml:space="preserve">self call — the agent holds no grant of its own, so the grant on the delegator’s</w:t>
      </w:r>
      <w:r>
        <w:t xml:space="preserve"> </w:t>
      </w:r>
      <w:r>
        <w:t xml:space="preserve">document is invisible to the resolver.</w:t>
      </w:r>
      <w:r>
        <w:t xml:space="preserve"> </w:t>
      </w:r>
      <w:r>
        <w:rPr>
          <w:rStyle w:val="VerbatimChar"/>
        </w:rPr>
        <w:t xml:space="preserve">BUG-14</w:t>
      </w:r>
      <w:r>
        <w:t xml:space="preserve"> </w:t>
      </w:r>
      <w:r>
        <w:t xml:space="preserve">is what that looks like from the</w:t>
      </w:r>
      <w:r>
        <w:t xml:space="preserve"> </w:t>
      </w:r>
      <w:r>
        <w:t xml:space="preserve">outside.</w:t>
      </w:r>
    </w:p>
    <w:p>
      <w:pPr>
        <w:pStyle w:val="Heading2"/>
      </w:pPr>
      <w:bookmarkStart w:id="24" w:name="deployed-and-verified"/>
      <w:r>
        <w:t xml:space="preserve">Deployed and verified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contract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z:f817f49837375d99b44cbf8907becc154f2a5fc9:expense-guard</w:t>
            </w:r>
            <w:r>
              <w:t xml:space="preserve"> </w:t>
            </w:r>
            <w:r>
              <w:t xml:space="preserve">v0.1.0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numeric contract id (what map ACLs take)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wasm</w:t>
            </w:r>
          </w:p>
        </w:tc>
        <w:tc>
          <w:p>
            <w:pPr>
              <w:pStyle w:val="Compact"/>
              <w:jc w:val="left"/>
            </w:pPr>
            <w:r>
              <w:t xml:space="preserve">255,734 bytes, sha256</w:t>
            </w:r>
            <w:r>
              <w:t xml:space="preserve"> </w:t>
            </w:r>
            <w:r>
              <w:rPr>
                <w:rStyle w:val="VerbatimChar"/>
              </w:rPr>
              <w:t xml:space="preserve">5dd3a964bc2e0b3f…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component validation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wasm-tools validate</w:t>
            </w:r>
            <w:r>
              <w:t xml:space="preserve"> </w:t>
            </w:r>
            <w:r>
              <w:t xml:space="preserve">OK; import set identical to the vendor sample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native tests</w:t>
            </w:r>
          </w:p>
        </w:tc>
        <w:tc>
          <w:p>
            <w:pPr>
              <w:pStyle w:val="Compact"/>
              <w:jc w:val="left"/>
            </w:pPr>
            <w:r>
              <w:t xml:space="preserve">115 unit tests + 1 doctest, green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p>
            <w:pPr>
              <w:pStyle w:val="Compact"/>
              <w:jc w:val="left"/>
            </w:pPr>
            <w:r>
              <w:t xml:space="preserve">rebuilding the contract from this source reproduces the deployed artifact byte-for-byte: 255,734 B, sha256</w:t>
            </w:r>
            <w:r>
              <w:t xml:space="preserve"> </w:t>
            </w:r>
            <w:r>
              <w:rPr>
                <w:rStyle w:val="VerbatimChar"/>
              </w:rPr>
              <w:t xml:space="preserve">5dd3a964bc2e0b3f…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demo</w:t>
            </w:r>
          </w:p>
        </w:tc>
        <w:tc>
          <w:p>
            <w:pPr>
              <w:pStyle w:val="Compact"/>
              <w:jc w:val="left"/>
            </w:pPr>
            <w:r>
              <w:t xml:space="preserve">8 of 8 steps green on four consecutive runs, produced by the documented</w:t>
            </w:r>
            <w:r>
              <w:t xml:space="preserve"> </w:t>
            </w:r>
            <w:r>
              <w:rPr>
                <w:rStyle w:val="VerbatimChar"/>
              </w:rPr>
              <w:t xml:space="preserve">npm run demo</w:t>
            </w:r>
            <w:r>
              <w:t xml:space="preserve"> </w:t>
            </w:r>
            <w:r>
              <w:t xml:space="preserve">— health, delegation, policy, FX-converted verdict, duplicate, threshold, rejection, ledger read-back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outbound HTTP from the enclave</w:t>
            </w:r>
          </w:p>
        </w:tc>
        <w:tc>
          <w:p>
            <w:pPr>
              <w:pStyle w:val="Compact"/>
              <w:jc w:val="left"/>
            </w:pPr>
            <w:r>
              <w:t xml:space="preserve">real:</w:t>
            </w:r>
            <w:r>
              <w:t xml:space="preserve"> </w:t>
            </w:r>
            <w:r>
              <w:rPr>
                <w:rStyle w:val="VerbatimChar"/>
              </w:rPr>
              <w:t xml:space="preserve">fx_source: open.er-api.com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fx_rate: 1.153788</w:t>
            </w:r>
            <w:r>
              <w:t xml:space="preserve"> </w:t>
            </w:r>
            <w:r>
              <w:t xml:space="preserve">for a EUR claim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tenant DID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did:t3n:f817f49837375d99b44cbf8907becc154f2a5fc9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org / agent DID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did:t3n:85c188ff697c5c7aae96b495bdc8c087dcdae4c9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did:t3n:a13591f52ba98b9068801c80719e56d03c74ee81</w:t>
            </w:r>
          </w:p>
        </w:tc>
      </w:tr>
    </w:tbl>
    <w:p>
      <w:pPr>
        <w:pStyle w:val="Heading2"/>
      </w:pPr>
      <w:bookmarkStart w:id="25" w:name="screenshots"/>
      <w:r>
        <w:t xml:space="preserve">Screenshots</w:t>
      </w:r>
      <w:bookmarkEnd w:id="25"/>
    </w:p>
    <w:p>
      <w:pPr>
        <w:pStyle w:val="FirstParagraph"/>
      </w:pPr>
      <w:r>
        <w:rPr>
          <w:rStyle w:val="VerbatimChar"/>
        </w:rPr>
        <w:t xml:space="preserve">npm run doctor</w:t>
      </w:r>
      <w:r>
        <w:t xml:space="preserve"> </w:t>
      </w:r>
      <w:r>
        <w:t xml:space="preserve">— all 21 preflight checks, run against the live cluster:</w:t>
      </w:r>
    </w:p>
    <w:p>
      <w:pPr>
        <w:pStyle w:val="CaptionedFigure"/>
      </w:pPr>
      <w:r>
        <w:drawing>
          <wp:inline>
            <wp:extent cx="5486400" cy="3074212"/>
            <wp:effectExtent b="0" l="0" r="0" t="0"/>
            <wp:docPr descr="doctor — 21 preflight checks before anything is registered" title="" id="1" name="Picture"/>
            <a:graphic>
              <a:graphicData uri="http://schemas.openxmlformats.org/drawingml/2006/picture">
                <pic:pic>
                  <pic:nvPicPr>
                    <pic:cNvPr descr="evidence/doct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74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doctor — 21 preflight checks before anything is registered</w:t>
      </w:r>
    </w:p>
    <w:p>
      <w:pPr>
        <w:pStyle w:val="BodyText"/>
      </w:pPr>
      <w:r>
        <w:rPr>
          <w:rStyle w:val="VerbatimChar"/>
        </w:rPr>
        <w:t xml:space="preserve">npm run demo</w:t>
      </w:r>
      <w:r>
        <w:t xml:space="preserve"> </w:t>
      </w:r>
      <w:r>
        <w:t xml:space="preserve">— one full agent session, 8 of 8 steps green:</w:t>
      </w:r>
    </w:p>
    <w:p>
      <w:pPr>
        <w:pStyle w:val="CaptionedFigure"/>
      </w:pPr>
      <w:r>
        <w:drawing>
          <wp:inline>
            <wp:extent cx="3200400" cy="7425842"/>
            <wp:effectExtent b="0" l="0" r="0" t="0"/>
            <wp:docPr descr="demo — 8 of 8 steps green" title="" id="1" name="Picture"/>
            <a:graphic>
              <a:graphicData uri="http://schemas.openxmlformats.org/drawingml/2006/picture">
                <pic:pic>
                  <pic:nvPicPr>
                    <pic:cNvPr descr="evidence/dem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425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demo — 8 of 8 steps green</w:t>
      </w:r>
    </w:p>
    <w:p>
      <w:pPr>
        <w:pStyle w:val="BodyText"/>
      </w:pPr>
      <w:r>
        <w:t xml:space="preserve">The actual decisions from that run — which rule fired, what the verdict was, what</w:t>
      </w:r>
      <w:r>
        <w:t xml:space="preserve"> </w:t>
      </w:r>
      <w:r>
        <w:t xml:space="preserve">the converted amount was — are quoted verbatim in</w:t>
      </w:r>
      <w:r>
        <w:t xml:space="preserve"> </w:t>
      </w:r>
      <w:r>
        <w:rPr>
          <w:rStyle w:val="VerbatimChar"/>
        </w:rPr>
        <w:t xml:space="preserve">evidence/decision-samples.md</w:t>
      </w:r>
      <w:r>
        <w:t xml:space="preserve">, and the whole session is replayable from the</w:t>
      </w:r>
      <w:r>
        <w:t xml:space="preserve"> </w:t>
      </w:r>
      <w:r>
        <w:t xml:space="preserve">committed transcripts in</w:t>
      </w:r>
      <w:r>
        <w:t xml:space="preserve"> </w:t>
      </w:r>
      <w:r>
        <w:rPr>
          <w:rStyle w:val="VerbatimChar"/>
        </w:rPr>
        <w:t xml:space="preserve">client/demo-output/</w:t>
      </w:r>
      <w:r>
        <w:t xml:space="preserve">.</w:t>
      </w:r>
    </w:p>
    <w:p>
      <w:pPr>
        <w:pStyle w:val="BodyText"/>
      </w:pPr>
      <w:r>
        <w:rPr>
          <w:b/>
        </w:rPr>
        <w:t xml:space="preserve">The demo transcript is the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client/demo-output/&lt;TIMESTAMP&gt;-invoke.json</w:t>
      </w:r>
      <w:r>
        <w:t xml:space="preserve"> </w:t>
      </w:r>
      <w:r>
        <w:t xml:space="preserve">is the raw output of</w:t>
      </w:r>
      <w:r>
        <w:t xml:space="preserve"> </w:t>
      </w:r>
      <w:r>
        <w:rPr>
          <w:rStyle w:val="VerbatimChar"/>
        </w:rPr>
        <w:t xml:space="preserve">npm run demo</w:t>
      </w:r>
      <w:r>
        <w:t xml:space="preserve"> </w:t>
      </w:r>
      <w:r>
        <w:t xml:space="preserve">— a real agent session, against the registered contract, on testnet. Every step records what was asked, what came back, and how it was classified.</w:t>
      </w:r>
    </w:p>
    <w:p>
      <w:pPr>
        <w:pStyle w:val="Heading2"/>
      </w:pPr>
      <w:bookmarkStart w:id="28" w:name="what-we-found-while-building-it"/>
      <w:r>
        <w:t xml:space="preserve">What we found while building it</w:t>
      </w:r>
      <w:bookmarkEnd w:id="28"/>
    </w:p>
    <w:p>
      <w:pPr>
        <w:pStyle w:val="FirstParagraph"/>
      </w:pPr>
      <w:r>
        <w:rPr>
          <w:rStyle w:val="VerbatimChar"/>
        </w:rPr>
        <w:t xml:space="preserve">docs/BUGLOG.md</w:t>
      </w:r>
      <w:r>
        <w:t xml:space="preserve"> </w:t>
      </w:r>
      <w:r>
        <w:t xml:space="preserve">documents 15 defects we hit and reproduced, each with the file and line, a verbatim error, and a proposed fix. The one that cost us the most is also the cheapest to fix: an agent call that names no acting identity is resolved as a</w:t>
      </w:r>
      <w:r>
        <w:t xml:space="preserve"> </w:t>
      </w:r>
      <w:r>
        <w:rPr>
          <w:b/>
        </w:rPr>
        <w:t xml:space="preserve">self</w:t>
      </w:r>
      <w:r>
        <w:t xml:space="preserve"> </w:t>
      </w:r>
      <w:r>
        <w:t xml:space="preserve">call, so the enclave looks for the contract’s egress grant on the agent’s own document, finds nothing, and denies the contract’s outbound HTTP with</w:t>
      </w:r>
      <w:r>
        <w:t xml:space="preserve"> </w:t>
      </w:r>
      <w:r>
        <w:rPr>
          <w:rStyle w:val="VerbatimChar"/>
        </w:rPr>
        <w:t xml:space="preserve">host/http.egress_denied ... not in the resolved allowlist []</w:t>
      </w:r>
      <w:r>
        <w:t xml:space="preserve"> </w:t>
      </w:r>
      <w:r>
        <w:t xml:space="preserve">— while the correct grant sits on the delegator’s document, echoed back intact by</w:t>
      </w:r>
      <w:r>
        <w:t xml:space="preserve"> </w:t>
      </w:r>
      <w:r>
        <w:rPr>
          <w:rStyle w:val="VerbatimChar"/>
        </w:rPr>
        <w:t xml:space="preserve">member-delegation-get</w:t>
      </w:r>
      <w:r>
        <w:t xml:space="preserve">. Every signal said the write had worked, and the one API that exists to name the missing edge,</w:t>
      </w:r>
      <w:r>
        <w:t xml:space="preserve"> </w:t>
      </w:r>
      <w:r>
        <w:rPr>
          <w:rStyle w:val="VerbatimChar"/>
        </w:rPr>
        <w:t xml:space="preserve">discoverCheckDelegation</w:t>
      </w:r>
      <w:r>
        <w:t xml:space="preserve">, returned</w:t>
      </w:r>
      <w:r>
        <w:t xml:space="preserve"> </w:t>
      </w:r>
      <w:r>
        <w:rPr>
          <w:rStyle w:val="VerbatimChar"/>
        </w:rPr>
        <w:t xml:space="preserve">authorised: false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list. A second one belongs in the same report: the SDK’s declared grant row (</w:t>
      </w:r>
      <w:r>
        <w:rPr>
          <w:rStyle w:val="VerbatimChar"/>
        </w:rPr>
        <w:t xml:space="preserve">function: string</w:t>
      </w:r>
      <w:r>
        <w:t xml:space="preserve">, with a comment describing the multi-function form as retired) is rejected by the node outright, which accepts</w:t>
      </w:r>
      <w:r>
        <w:t xml:space="preserve"> </w:t>
      </w:r>
      <w:r>
        <w:rPr>
          <w:rStyle w:val="VerbatimChar"/>
        </w:rPr>
        <w:t xml:space="preserve">functions: [...]</w:t>
      </w:r>
      <w:r>
        <w:t xml:space="preserve"> </w:t>
      </w:r>
      <w:r>
        <w:t xml:space="preserve">— the shape the docs use. The others range from a duplicate import that stops the documented first paste from compiling, through a</w:t>
      </w:r>
      <w:r>
        <w:t xml:space="preserve"> </w:t>
      </w:r>
      <w:r>
        <w:rPr>
          <w:rStyle w:val="VerbatimChar"/>
        </w:rPr>
        <w:t xml:space="preserve">.cargo/config.toml</w:t>
      </w:r>
      <w:r>
        <w:t xml:space="preserve"> </w:t>
      </w:r>
      <w:r>
        <w:t xml:space="preserve">that makes the vendor sample’s own</w:t>
      </w:r>
      <w:r>
        <w:t xml:space="preserve"> </w:t>
      </w:r>
      <w:r>
        <w:rPr>
          <w:rStyle w:val="VerbatimChar"/>
        </w:rPr>
        <w:t xml:space="preserve">cargo test</w:t>
      </w:r>
      <w:r>
        <w:t xml:space="preserve"> </w:t>
      </w:r>
      <w:r>
        <w:t xml:space="preserve">fail, four host-ABI capabilities (</w:t>
      </w:r>
      <w:r>
        <w:rPr>
          <w:rStyle w:val="VerbatimChar"/>
        </w:rPr>
        <w:t xml:space="preserve">kv-store.scan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set-claims-digest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token.get-balance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seq-no</w:t>
      </w:r>
      <w:r>
        <w:t xml:space="preserve">) that exist in the vendored WIT and in none of the 48 published docs, an SDK shipped obfuscated with no source maps while the source repository is private, a</w:t>
      </w:r>
      <w:r>
        <w:t xml:space="preserve"> </w:t>
      </w:r>
      <w:r>
        <w:rPr>
          <w:rStyle w:val="VerbatimChar"/>
        </w:rPr>
        <w:t xml:space="preserve">contract_id</w:t>
      </w:r>
      <w:r>
        <w:t xml:space="preserve"> </w:t>
      </w:r>
      <w:r>
        <w:t xml:space="preserve">split whose numeric half cannot be read back after a re-registration, to a CLI that cannot read an agent’s balance because it only accepts private keys.</w:t>
      </w:r>
    </w:p>
    <w:p>
      <w:pPr>
        <w:pStyle w:val="Heading2"/>
      </w:pPr>
      <w:bookmarkStart w:id="29" w:name="current-limitations"/>
      <w:r>
        <w:t xml:space="preserve">Current limitations</w:t>
      </w:r>
      <w:bookmarkEnd w:id="29"/>
    </w:p>
    <w:p>
      <w:pPr>
        <w:pStyle w:val="FirstParagraph"/>
      </w:pPr>
      <w:r>
        <w:t xml:space="preserve">Stated plainly, because a compliance deployment is judged on its weak edges:</w:t>
      </w:r>
    </w:p>
    <w:p>
      <w:pPr>
        <w:numPr>
          <w:ilvl w:val="0"/>
          <w:numId w:val="1002"/>
        </w:numPr>
        <w:pStyle w:val="Compact"/>
      </w:pPr>
      <w:r>
        <w:t xml:space="preserve">The audit ledger is</w:t>
      </w:r>
      <w:r>
        <w:t xml:space="preserve"> </w:t>
      </w:r>
      <w:r>
        <w:rPr>
          <w:b/>
        </w:rPr>
        <w:t xml:space="preserve">append-only and sequence-numbered inside the TEE</w:t>
      </w:r>
      <w:r>
        <w:t xml:space="preserve">, not</w:t>
      </w:r>
      <w:r>
        <w:t xml:space="preserve"> </w:t>
      </w:r>
      <w:r>
        <w:t xml:space="preserve">independently cryptographically verifiable: there is no per-record signature or</w:t>
      </w:r>
      <w:r>
        <w:t xml:space="preserve"> </w:t>
      </w:r>
      <w:r>
        <w:t xml:space="preserve">receipt a third party could check without trusting the operator’s attestation.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One policy per tenant.</w:t>
      </w:r>
      <w:r>
        <w:t xml:space="preserve"> </w:t>
      </w:r>
      <w:r>
        <w:t xml:space="preserve">The policy map holds one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rulebook;</w:t>
      </w:r>
      <w:r>
        <w:t xml:space="preserve"> </w:t>
      </w:r>
      <w:r>
        <w:t xml:space="preserve">per-department policy sets would need a keying change.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Sequence allocation is read-then-increment.</w:t>
      </w:r>
      <w:r>
        <w:t xml:space="preserve"> </w:t>
      </w:r>
      <w:r>
        <w:t xml:space="preserve">KV exposes no atomic</w:t>
      </w:r>
      <w:r>
        <w:t xml:space="preserve"> </w:t>
      </w:r>
      <w:r>
        <w:t xml:space="preserve">compare-and-set through the host interface, so concurrent writers could collide.</w:t>
      </w:r>
      <w:r>
        <w:t xml:space="preserve"> </w:t>
      </w:r>
      <w:r>
        <w:t xml:space="preserve">Acceptable for a serial approval workflow, not for a high-throughput ledger.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External dependencies are trusted at runtime.</w:t>
      </w:r>
      <w:r>
        <w:t xml:space="preserve"> </w:t>
      </w:r>
      <w:r>
        <w:t xml:space="preserve">Approval delivery depends on</w:t>
      </w:r>
      <w:r>
        <w:t xml:space="preserve"> </w:t>
      </w:r>
      <w:r>
        <w:t xml:space="preserve">the configured webhook, FX on</w:t>
      </w:r>
      <w:r>
        <w:t xml:space="preserve"> </w:t>
      </w:r>
      <w:r>
        <w:rPr>
          <w:rStyle w:val="VerbatimChar"/>
        </w:rPr>
        <w:t xml:space="preserve">open.er-api.com</w:t>
      </w:r>
      <w:r>
        <w:t xml:space="preserve">; both degrade explicitly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status: "failed"</w:t>
      </w:r>
      <w:r>
        <w:t xml:space="preserve">,</w:t>
      </w:r>
      <w:r>
        <w:t xml:space="preserve"> </w:t>
      </w:r>
      <w:r>
        <w:rPr>
          <w:rStyle w:val="VerbatimChar"/>
        </w:rPr>
        <w:t xml:space="preserve">fx_unavailable</w:t>
      </w:r>
      <w:r>
        <w:t xml:space="preserve">) instead of silently.</w:t>
      </w:r>
      <w:r>
        <w:t xml:space="preserve"> </w:t>
      </w:r>
      <w:r>
        <w:rPr>
          <w:rStyle w:val="VerbatimChar"/>
        </w:rPr>
        <w:t xml:space="preserve">request-approval</w:t>
      </w:r>
      <w:r>
        <w:t xml:space="preserve"> </w:t>
      </w:r>
      <w:r>
        <w:t xml:space="preserve">itself is unit-tested but not exercised end to end in the committed demo, so</w:t>
      </w:r>
      <w:r>
        <w:t xml:space="preserve"> </w:t>
      </w:r>
      <w:r>
        <w:t xml:space="preserve">the webhook dispatch path has never run against a real endpoint here.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The client checks reachability, not attestation.</w:t>
      </w:r>
      <w:r>
        <w:t xml:space="preserve"> </w:t>
      </w:r>
      <w:r>
        <w:t xml:space="preserve">Nothing refuses to run</w:t>
      </w:r>
      <w:r>
        <w:t xml:space="preserve"> </w:t>
      </w:r>
      <w:r>
        <w:t xml:space="preserve">against an unexpected enclave measurement yet.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The agent holds a bearer token, not a key pair</w:t>
      </w:r>
      <w:r>
        <w:t xml:space="preserve">, so it cannot prove key</w:t>
      </w:r>
      <w:r>
        <w:t xml:space="preserve"> </w:t>
      </w:r>
      <w:r>
        <w:t xml:space="preserve">possession to a third party; its authority is the delegation document plus the</w:t>
      </w:r>
      <w:r>
        <w:t xml:space="preserve"> </w:t>
      </w:r>
      <w:r>
        <w:t xml:space="preserve">host’s resolution of it.</w:t>
      </w:r>
    </w:p>
    <w:p>
      <w:pPr>
        <w:pStyle w:val="Heading2"/>
      </w:pPr>
      <w:bookmarkStart w:id="30" w:name="how-this-maps-to-the-judging-criteria"/>
      <w:r>
        <w:t xml:space="preserve">How this maps to the judging criteria</w:t>
      </w:r>
      <w:bookmarkEnd w:id="3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to look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Usefulness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problem it solves</w:t>
            </w:r>
            <w:r>
              <w:t xml:space="preserve">”</w:t>
            </w:r>
            <w:r>
              <w:t xml:space="preserve"> </w:t>
            </w:r>
            <w:r>
              <w:t xml:space="preserve">above; the policy/ledger confidentiality argument in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Build quality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actually runs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The authority model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docs/ARCHITECTURE.md</w:t>
            </w:r>
            <w:r>
              <w:t xml:space="preserve">; 115 native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Ease of maintenance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docs/HANDOVER.md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docs/RUNBOOK.md</w:t>
            </w:r>
            <w:r>
              <w:t xml:space="preserve">, the six documented npm commands, deterministic decisions,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Documentation quality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(overview),</w:t>
            </w:r>
            <w:r>
              <w:t xml:space="preserve"> </w:t>
            </w:r>
            <w:r>
              <w:rPr>
                <w:rStyle w:val="VerbatimChar"/>
              </w:rPr>
              <w:t xml:space="preserve">docs/INTERFACE.md</w:t>
            </w:r>
            <w:r>
              <w:t xml:space="preserve"> </w:t>
            </w:r>
            <w:r>
              <w:t xml:space="preserve">(frozen interface),</w:t>
            </w:r>
            <w:r>
              <w:t xml:space="preserve"> </w:t>
            </w:r>
            <w:r>
              <w:rPr>
                <w:rStyle w:val="VerbatimChar"/>
              </w:rPr>
              <w:t xml:space="preserve">docs/ARCHITECTURE.md</w:t>
            </w:r>
            <w:r>
              <w:t xml:space="preserve"> </w:t>
            </w:r>
            <w:r>
              <w:t xml:space="preserve">(threat model),</w:t>
            </w:r>
            <w:r>
              <w:t xml:space="preserve"> </w:t>
            </w:r>
            <w:r>
              <w:rPr>
                <w:rStyle w:val="VerbatimChar"/>
              </w:rPr>
              <w:t xml:space="preserve">docs/BUGLOG.md</w:t>
            </w:r>
            <w:r>
              <w:t xml:space="preserve"> </w:t>
            </w:r>
            <w:r>
              <w:t xml:space="preserve">(defects)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Demo / evidence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Deployed and verified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Screenshots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client/demo-output/</w:t>
            </w:r>
            <w:r>
              <w:t xml:space="preserve"> </w:t>
            </w:r>
            <w:r>
              <w:t xml:space="preserve">transcripts;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Bug findings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we found while building it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docs/BUGLOG.md</w:t>
            </w:r>
            <w:r>
              <w:t xml:space="preserve"> </w:t>
            </w:r>
            <w:r>
              <w:t xml:space="preserve">(15 entries, categorised and prioritised)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Handover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Running it after the challenge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docs/HANDOVER.md</w:t>
            </w:r>
            <w:r>
              <w:t xml:space="preserve">, including the two traps</w:t>
            </w:r>
          </w:p>
        </w:tc>
      </w:tr>
    </w:tbl>
    <w:p>
      <w:pPr>
        <w:pStyle w:val="Heading2"/>
      </w:pPr>
      <w:bookmarkStart w:id="31" w:name="reproducing-it"/>
      <w:r>
        <w:t xml:space="preserve">Reproducing it</w:t>
      </w:r>
      <w:bookmarkEnd w:id="31"/>
    </w:p>
    <w:p>
      <w:pPr>
        <w:pStyle w:val="SourceCode"/>
      </w:pPr>
      <w:r>
        <w:rPr>
          <w:rStyle w:val="CommentTok"/>
        </w:rPr>
        <w:t xml:space="preserve"># contract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contract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--target wasm32-wasip2 --release</w:t>
      </w:r>
      <w:r>
        <w:br/>
      </w:r>
      <w:r>
        <w:br/>
      </w:r>
      <w:r>
        <w:rPr>
          <w:rStyle w:val="CommentTok"/>
        </w:rPr>
        <w:t xml:space="preserve"># client (three credentials in client/.env, 0600)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../client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doctor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register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delegate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demo</w:t>
      </w:r>
    </w:p>
    <w:p>
      <w:pPr>
        <w:pStyle w:val="FirstParagraph"/>
      </w:pPr>
      <w:r>
        <w:rPr>
          <w:rStyle w:val="VerbatimChar"/>
        </w:rPr>
        <w:t xml:space="preserve">docs/RUNBOOK.md</w:t>
      </w:r>
      <w:r>
        <w:t xml:space="preserve"> </w:t>
      </w:r>
      <w:r>
        <w:t xml:space="preserve">has the full sequence, the expected output and the failure modes;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explains why the boundaries sit where they do;</w:t>
      </w:r>
      <w:r>
        <w:t xml:space="preserve"> </w:t>
      </w:r>
      <w:r>
        <w:rPr>
          <w:rStyle w:val="VerbatimChar"/>
        </w:rPr>
        <w:t xml:space="preserve">docs/INTERFACE.md</w:t>
      </w:r>
      <w:r>
        <w:t xml:space="preserve"> </w:t>
      </w:r>
      <w:r>
        <w:t xml:space="preserve">is the frozen contract interface.</w:t>
      </w:r>
    </w:p>
    <w:p>
      <w:pPr>
        <w:pStyle w:val="Heading2"/>
      </w:pPr>
      <w:bookmarkStart w:id="32" w:name="running-it-after-the-challenge"/>
      <w:r>
        <w:t xml:space="preserve">Running it after the challenge</w:t>
      </w:r>
      <w:bookmarkEnd w:id="32"/>
    </w:p>
    <w:p>
      <w:pPr>
        <w:pStyle w:val="FirstParagraph"/>
      </w:pPr>
      <w:r>
        <w:rPr>
          <w:rStyle w:val="VerbatimChar"/>
        </w:rPr>
        <w:t xml:space="preserve">docs/RUNBOOK.md</w:t>
      </w:r>
      <w:r>
        <w:t xml:space="preserve"> </w:t>
      </w:r>
      <w:r>
        <w:t xml:space="preserve">is the operator’s document: the deploy order, the expected output at every step, and the failure modes we actually hit. Nothing in the running system is bound to our accounts, so either path works: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We keep running it.</w:t>
      </w:r>
      <w:r>
        <w:t xml:space="preserve"> </w:t>
      </w:r>
      <w:r>
        <w:t xml:space="preserve">The tenant org, the agent and the registration stay ours; cost is metered per call through the host’s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capability, and the harness is one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away from working.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Handover to Terminal 3.</w:t>
      </w:r>
      <w:r>
        <w:t xml:space="preserve"> </w:t>
      </w:r>
      <w:r>
        <w:t xml:space="preserve">The transferable surface is deliberately small — a wasm artifact, one registration call, four KV maps, one delegation document, one secrets row. A new operator needs a tenant with credits, an agent, and the values listed in</w:t>
      </w:r>
      <w:r>
        <w:t xml:space="preserve"> </w:t>
      </w:r>
      <w:r>
        <w:rPr>
          <w:rStyle w:val="VerbatimChar"/>
        </w:rPr>
        <w:t xml:space="preserve">client/.env.example</w:t>
      </w:r>
      <w:r>
        <w:t xml:space="preserve">, which documents every variable including the two traps:</w:t>
      </w:r>
      <w:r>
        <w:t xml:space="preserve"> </w:t>
      </w:r>
      <w:r>
        <w:rPr>
          <w:rStyle w:val="VerbatimChar"/>
        </w:rPr>
        <w:t xml:space="preserve">AGENT_INVOKE_KEY</w:t>
      </w:r>
      <w:r>
        <w:t xml:space="preserve"> </w:t>
      </w:r>
      <w:r>
        <w:t xml:space="preserve">is a bearer token printed exactly once at agent creation, and</w:t>
      </w:r>
      <w:r>
        <w:t xml:space="preserve"> </w:t>
      </w:r>
      <w:r>
        <w:rPr>
          <w:rStyle w:val="VerbatimChar"/>
        </w:rPr>
        <w:t xml:space="preserve">PII_DID</w:t>
      </w:r>
      <w:r>
        <w:t xml:space="preserve"> </w:t>
      </w:r>
      <w:r>
        <w:t xml:space="preserve">must name the delegator or egress resolves to an empty allowlist (</w:t>
      </w:r>
      <w:r>
        <w:rPr>
          <w:rStyle w:val="VerbatimChar"/>
        </w:rPr>
        <w:t xml:space="preserve">BUG-14</w:t>
      </w:r>
      <w:r>
        <w:t xml:space="preserve">).</w:t>
      </w:r>
      <w:r>
        <w:t xml:space="preserve"> </w:t>
      </w:r>
      <w:r>
        <w:rPr>
          <w:rStyle w:val="VerbatimChar"/>
        </w:rPr>
        <w:t xml:space="preserve">deploy.ts</w:t>
      </w:r>
      <w:r>
        <w:t xml:space="preserve"> </w:t>
      </w:r>
      <w:r>
        <w:t xml:space="preserve">recreates the contract, the maps and the policy;</w:t>
      </w:r>
      <w:r>
        <w:t xml:space="preserve"> </w:t>
      </w:r>
      <w:r>
        <w:rPr>
          <w:rStyle w:val="VerbatimChar"/>
        </w:rPr>
        <w:t xml:space="preserve">deploy.ts --seed-only</w:t>
      </w:r>
      <w:r>
        <w:t xml:space="preserve"> </w:t>
      </w:r>
      <w:r>
        <w:t xml:space="preserve">re-seeds the secrets row;</w:t>
      </w:r>
      <w:r>
        <w:t xml:space="preserve"> </w:t>
      </w:r>
      <w:r>
        <w:rPr>
          <w:rStyle w:val="VerbatimChar"/>
        </w:rPr>
        <w:t xml:space="preserve">grant.ts</w:t>
      </w:r>
      <w:r>
        <w:t xml:space="preserve"> </w:t>
      </w:r>
      <w:r>
        <w:t xml:space="preserve">rewrites the delegation idempotently;</w:t>
      </w:r>
      <w:r>
        <w:t xml:space="preserve"> </w:t>
      </w:r>
      <w:r>
        <w:rPr>
          <w:rStyle w:val="VerbatimChar"/>
        </w:rPr>
        <w:t xml:space="preserve">npm run doctor</w:t>
      </w:r>
      <w:r>
        <w:t xml:space="preserve"> </w:t>
      </w:r>
      <w:r>
        <w:t xml:space="preserve">names anything still missing.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carries the same contract for whoever picks the repository up next.</w:t>
      </w:r>
    </w:p>
    <w:p>
      <w:pPr>
        <w:pStyle w:val="FirstParagraph"/>
      </w:pPr>
      <w:r>
        <w:rPr>
          <w:rStyle w:val="VerbatimChar"/>
        </w:rPr>
        <w:t xml:space="preserve">docs/HANDOVER.md</w:t>
      </w:r>
      <w:r>
        <w:t xml:space="preserve"> </w:t>
      </w:r>
      <w:r>
        <w:t xml:space="preserve">is the full checklist: provisioning order, the credentials each identity needs, preflight, the traps, and what we would do before running this for real.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26" Type="http://schemas.openxmlformats.org/officeDocument/2006/relationships/image" Target="media/rId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2026-09-16T08:01:57Z</dcterms:created>
  <dcterms:modified xsi:type="dcterms:W3CDTF">2026-09-16T08:01:57Z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