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2e616cd1c401679cad9ac7d3e3f945c24ef898"/>
      <w:r>
        <w:t xml:space="preserve">ExpenseGuard — a confidential expense-compliance agent on T3N</w:t>
      </w:r>
      <w:bookmarkEnd w:id="20"/>
    </w:p>
    <w:p>
      <w:pPr>
        <w:pStyle w:val="FirstParagraph"/>
      </w:pPr>
      <w:r>
        <w:rPr>
          <w:b/>
        </w:rPr>
        <w:t xml:space="preserve">T3N Agent Build Challenge submission.</w:t>
      </w:r>
      <w:r>
        <w:t xml:space="preserve"> </w:t>
      </w:r>
      <w:r>
        <w:t xml:space="preserve">Repository:</w:t>
      </w:r>
      <w:r>
        <w:t xml:space="preserve"> </w:t>
      </w:r>
      <w:r>
        <w:rPr>
          <w:rStyle w:val="VerbatimChar"/>
        </w:rPr>
        <w:t xml:space="preserve">&lt;REPO_URL&gt;</w:t>
      </w:r>
      <w:r>
        <w:t xml:space="preserve"> </w:t>
      </w:r>
      <w:r>
        <w:t xml:space="preserve">· Demo transcript:</w:t>
      </w:r>
      <w:r>
        <w:t xml:space="preserve"> </w:t>
      </w:r>
      <w:r>
        <w:rPr>
          <w:rStyle w:val="VerbatimChar"/>
        </w:rPr>
        <w:t xml:space="preserve">client/demo-output/&lt;TIMESTAMP&gt;-invoke.json</w:t>
      </w:r>
    </w:p>
    <w:p>
      <w:pPr>
        <w:pStyle w:val="BodyText"/>
      </w:pPr>
      <w:r>
        <w:t xml:space="preserve">ExpenseGuard is an enterprise expense/invoice compliance agent whose policy, decision and audit trail never leave an attested enclave. It is a T3N TEE contract written in Rust, compiled to a WASM/WIT component, registered on T3N testnet, and driven end-to-end by an agent that holds its own scoped delegation.</w:t>
      </w:r>
    </w:p>
    <w:p>
      <w:pPr>
        <w:pStyle w:val="Heading2"/>
      </w:pPr>
      <w:bookmarkStart w:id="21" w:name="the-problem-it-solves"/>
      <w:r>
        <w:t xml:space="preserve">The problem it solves</w:t>
      </w:r>
      <w:bookmarkEnd w:id="21"/>
    </w:p>
    <w:p>
      <w:pPr>
        <w:pStyle w:val="FirstParagraph"/>
      </w:pPr>
      <w:r>
        <w:t xml:space="preserve">Every company above a few dozen employees runs the same loop: an employee submits an expense, a rulebook decides whether it is allowed, and the result lands in an audit trail. Both halves are sensitive. The rulebook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company’s internal control environment — category limits, approval thresholds, vendor restrictions — and the ledger contains employees, vendors and amounts. Today that lives in a SaaS database where the vendor, and anyone who compromises them, can read all of it. Regulated buyers (finance, healthcare, defence) cannot put it there at all.</w:t>
      </w:r>
    </w:p>
    <w:p>
      <w:pPr>
        <w:pStyle w:val="BodyText"/>
      </w:pPr>
      <w:r>
        <w:t xml:space="preserve">Putting the rulebook and the ledger inside a TEE changes the trust story: the policy is enforced by code running in an enclave, the audit record is written there, and neither is visible to the host, the operator, or the platform.</w:t>
      </w:r>
    </w:p>
    <w:p>
      <w:pPr>
        <w:pStyle w:val="Heading2"/>
      </w:pPr>
      <w:bookmarkStart w:id="22" w:name="what-actually-runs"/>
      <w:r>
        <w:t xml:space="preserve">What actually runs</w:t>
      </w:r>
      <w:bookmarkEnd w:id="22"/>
    </w:p>
    <w:p>
      <w:pPr>
        <w:pStyle w:val="FirstParagraph"/>
      </w:pPr>
      <w:r>
        <w:t xml:space="preserve">The contract (</w:t>
      </w:r>
      <w:r>
        <w:rPr>
          <w:rStyle w:val="VerbatimChar"/>
        </w:rPr>
        <w:t xml:space="preserve">contract/</w:t>
      </w:r>
      <w:r>
        <w:t xml:space="preserve">, Rust →</w:t>
      </w:r>
      <w:r>
        <w:t xml:space="preserve"> </w:t>
      </w:r>
      <w:r>
        <w:rPr>
          <w:rStyle w:val="VerbatimChar"/>
        </w:rPr>
        <w:t xml:space="preserve">z_expense_guard.wasm</w:t>
      </w:r>
      <w:r>
        <w:t xml:space="preserve">) exports six functions and holds all of the above: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</w:t>
            </w:r>
          </w:p>
        </w:tc>
        <w:tc>
          <w:p>
            <w:pPr>
              <w:pStyle w:val="Compact"/>
              <w:jc w:val="left"/>
            </w:pPr>
            <w:r>
              <w:t xml:space="preserve">liveness + the enclave’s view of the contract identity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set-policy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get-policy</w:t>
            </w:r>
          </w:p>
        </w:tc>
        <w:tc>
          <w:p>
            <w:pPr>
              <w:pStyle w:val="Compact"/>
              <w:jc w:val="left"/>
            </w:pPr>
            <w:r>
              <w:t xml:space="preserve">the rulebook: base currency, approval threshold, per-category limits, weekday restriction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check-expense</w:t>
            </w:r>
          </w:p>
        </w:tc>
        <w:tc>
          <w:p>
            <w:pPr>
              <w:pStyle w:val="Compact"/>
              <w:jc w:val="left"/>
            </w:pPr>
            <w:r>
              <w:t xml:space="preserve">evaluates one expense against the policy and returns a verdict with the rule ids that fired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request-approval</w:t>
            </w:r>
          </w:p>
        </w:tc>
        <w:tc>
          <w:p>
            <w:pPr>
              <w:pStyle w:val="Compact"/>
              <w:jc w:val="left"/>
            </w:pPr>
            <w:r>
              <w:t xml:space="preserve">posts the flagged expense to the configured webhook — through the host’s HTTP egress, with</w:t>
            </w:r>
            <w:r>
              <w:t xml:space="preserve"> </w:t>
            </w:r>
            <w:r>
              <w:rPr>
                <w:rStyle w:val="VerbatimChar"/>
              </w:rPr>
              <w:t xml:space="preserve">{{profile.*}}</w:t>
            </w:r>
            <w:r>
              <w:t xml:space="preserve"> </w:t>
            </w:r>
            <w:r>
              <w:t xml:space="preserve">placeholders resolved</w:t>
            </w:r>
            <w:r>
              <w:t xml:space="preserve"> </w:t>
            </w:r>
            <w:r>
              <w:rPr>
                <w:i/>
              </w:rPr>
              <w:t xml:space="preserve">inside</w:t>
            </w:r>
            <w:r>
              <w:t xml:space="preserve"> </w:t>
            </w:r>
            <w:r>
              <w:t xml:space="preserve">the enclave so PII never enters contract memory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get-audit</w:t>
            </w:r>
          </w:p>
        </w:tc>
        <w:tc>
          <w:p>
            <w:pPr>
              <w:pStyle w:val="Compact"/>
              <w:jc w:val="left"/>
            </w:pPr>
            <w:r>
              <w:t xml:space="preserve">the append-only ledger inside the TEE</w:t>
            </w:r>
          </w:p>
        </w:tc>
      </w:tr>
    </w:tbl>
    <w:p>
      <w:pPr>
        <w:pStyle w:val="BodyText"/>
      </w:pPr>
      <w:r>
        <w:t xml:space="preserve">Five T3N host capabilities carry the weight, and each one is load-bearing rather than decorative: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kv-store</w:t>
      </w:r>
      <w:r>
        <w:t xml:space="preserve"> </w:t>
      </w:r>
      <w:r>
        <w:t xml:space="preserve">— the policy, the audit ledger, the FX cache and the webhook URL. Maps are namespaced</w:t>
      </w:r>
      <w:r>
        <w:t xml:space="preserve"> </w:t>
      </w:r>
      <w:r>
        <w:rPr>
          <w:rStyle w:val="VerbatimChar"/>
        </w:rPr>
        <w:t xml:space="preserve">z:&lt;tid&gt;:&lt;tail&gt;</w:t>
      </w:r>
      <w:r>
        <w:t xml:space="preserve"> </w:t>
      </w:r>
      <w:r>
        <w:t xml:space="preserve">and ACL’d so only the contract can write them.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http</w:t>
      </w:r>
      <w:r>
        <w:rPr>
          <w:b/>
        </w:rPr>
        <w:t xml:space="preserve"> </w:t>
      </w:r>
      <w:r>
        <w:rPr>
          <w:b/>
        </w:rPr>
        <w:t xml:space="preserve">+</w:t>
      </w:r>
      <w:r>
        <w:rPr>
          <w:b/>
        </w:rPr>
        <w:t xml:space="preserve"> </w:t>
      </w:r>
      <w:r>
        <w:rPr>
          <w:rStyle w:val="VerbatimChar"/>
          <w:b/>
        </w:rPr>
        <w:t xml:space="preserve">http-with-placeholders</w:t>
      </w:r>
      <w:r>
        <w:t xml:space="preserve"> </w:t>
      </w:r>
      <w:r>
        <w:t xml:space="preserve">— live FX rates from</w:t>
      </w:r>
      <w:r>
        <w:t xml:space="preserve"> </w:t>
      </w:r>
      <w:r>
        <w:rPr>
          <w:rStyle w:val="VerbatimChar"/>
        </w:rPr>
        <w:t xml:space="preserve">open.er-api.com</w:t>
      </w:r>
      <w:r>
        <w:t xml:space="preserve">, and the approval webhook. This is why the FX conversion cannot be faked by the caller: the rate is fetched by the enclave, not supplied by the agent.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tenant-context</w:t>
      </w:r>
      <w:r>
        <w:t xml:space="preserve"> </w:t>
      </w:r>
      <w:r>
        <w:t xml:space="preserve">— the contract learns which tenant it is running for.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logging</w:t>
      </w:r>
      <w:r>
        <w:t xml:space="preserve"> </w:t>
      </w:r>
      <w:r>
        <w:t xml:space="preserve">— host-side logs, deliberately free of expense contents.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token</w:t>
      </w:r>
      <w:r>
        <w:rPr>
          <w:b/>
        </w:rPr>
        <w:t xml:space="preserve"> </w:t>
      </w:r>
      <w:r>
        <w:rPr>
          <w:b/>
        </w:rPr>
        <w:t xml:space="preserve">/</w:t>
      </w:r>
      <w:r>
        <w:rPr>
          <w:b/>
        </w:rPr>
        <w:t xml:space="preserve"> </w:t>
      </w:r>
      <w:r>
        <w:rPr>
          <w:rStyle w:val="VerbatimChar"/>
          <w:b/>
        </w:rPr>
        <w:t xml:space="preserve">ledger</w:t>
      </w:r>
      <w:r>
        <w:t xml:space="preserve"> </w:t>
      </w:r>
      <w:r>
        <w:t xml:space="preserve">— metering, so an enterprise can price this per decision.</w:t>
      </w:r>
    </w:p>
    <w:p>
      <w:pPr>
        <w:pStyle w:val="Heading2"/>
      </w:pPr>
      <w:bookmarkStart w:id="23" w:name="the-authority-model"/>
      <w:r>
        <w:t xml:space="preserve">The authority model</w:t>
      </w:r>
      <w:bookmarkEnd w:id="23"/>
    </w:p>
    <w:p>
      <w:pPr>
        <w:pStyle w:val="FirstParagraph"/>
      </w:pPr>
      <w:r>
        <w:t xml:space="preserve">Three credentials, three jobs, no shared blast radius: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Credential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p>
            <w:pPr>
              <w:pStyle w:val="Compact"/>
              <w:jc w:val="left"/>
            </w:pPr>
            <w:r>
              <w:t xml:space="preserve">private key</w:t>
            </w:r>
          </w:p>
        </w:tc>
        <w:tc>
          <w:p>
            <w:pPr>
              <w:pStyle w:val="Compact"/>
              <w:jc w:val="left"/>
            </w:pPr>
            <w:r>
              <w:t xml:space="preserve">registers the contract, creates the maps, seeds the 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(data owner)</w:t>
            </w:r>
          </w:p>
        </w:tc>
        <w:tc>
          <w:p>
            <w:pPr>
              <w:pStyle w:val="Compact"/>
              <w:jc w:val="left"/>
            </w:pPr>
            <w:r>
              <w:t xml:space="preserve">private key</w:t>
            </w:r>
          </w:p>
        </w:tc>
        <w:tc>
          <w:p>
            <w:pPr>
              <w:pStyle w:val="Compact"/>
              <w:jc w:val="left"/>
            </w:pPr>
            <w:r>
              <w:t xml:space="preserve">signs one scoped delegation grant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opaque</w:t>
            </w:r>
            <w:r>
              <w:t xml:space="preserve"> </w:t>
            </w:r>
            <w:r>
              <w:rPr>
                <w:rStyle w:val="VerbatimChar"/>
              </w:rPr>
              <w:t xml:space="preserve">t3n_key_…</w:t>
            </w:r>
            <w:r>
              <w:t xml:space="preserve"> </w:t>
            </w: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t xml:space="preserve">can call exactly six functions on exactly one contract, with egress to exactly two hosts</w:t>
            </w:r>
          </w:p>
        </w:tc>
      </w:tr>
    </w:tbl>
    <w:p>
      <w:pPr>
        <w:pStyle w:val="BodyText"/>
      </w:pPr>
      <w:r>
        <w:t xml:space="preserve">The agent’s credential is not a private key and never touches the session handshake: it goes to the invoke endpoint in an</w:t>
      </w:r>
      <w:r>
        <w:t xml:space="preserve"> </w:t>
      </w:r>
      <w:r>
        <w:rPr>
          <w:rStyle w:val="VerbatimChar"/>
        </w:rPr>
        <w:t xml:space="preserve">X-T3N-Api-Key</w:t>
      </w:r>
      <w:r>
        <w:t xml:space="preserve"> </w:t>
      </w:r>
      <w:r>
        <w:t xml:space="preserve">header, and the contract’s private material is generated inside the enclave and never leaves it.</w:t>
      </w:r>
    </w:p>
    <w:p>
      <w:pPr>
        <w:pStyle w:val="BodyText"/>
      </w:pPr>
      <w:r>
        <w:t xml:space="preserve">Each agent call also names the identity it acts</w:t>
      </w:r>
      <w:r>
        <w:t xml:space="preserve"> </w:t>
      </w:r>
      <w:r>
        <w:rPr>
          <w:i/>
        </w:rPr>
        <w:t xml:space="preserve">for</w:t>
      </w:r>
      <w:r>
        <w:t xml:space="preserve"> </w:t>
      </w:r>
      <w:r>
        <w:t xml:space="preserve">(</w:t>
      </w:r>
      <w:r>
        <w:rPr>
          <w:rStyle w:val="VerbatimChar"/>
        </w:rPr>
        <w:t xml:space="preserve">pii_did</w:t>
      </w:r>
      <w:r>
        <w:t xml:space="preserve"> </w:t>
      </w:r>
      <w:r>
        <w:t xml:space="preserve">= the delegator).</w:t>
      </w:r>
      <w:r>
        <w:t xml:space="preserve"> </w:t>
      </w:r>
      <w:r>
        <w:t xml:space="preserve">That is not decoration: the enclave resolves the contract’s outbound-host allowlist</w:t>
      </w:r>
      <w:r>
        <w:t xml:space="preserve"> </w:t>
      </w:r>
      <w:r>
        <w:t xml:space="preserve">per call from that identity’s grant, and a call that names nobody is treated as a</w:t>
      </w:r>
      <w:r>
        <w:t xml:space="preserve"> </w:t>
      </w:r>
      <w:r>
        <w:t xml:space="preserve">self call — the agent holds no grant of its own, so the grant on the delegator’s</w:t>
      </w:r>
      <w:r>
        <w:t xml:space="preserve"> </w:t>
      </w:r>
      <w:r>
        <w:t xml:space="preserve">document is invisible to the resolver.</w:t>
      </w:r>
      <w:r>
        <w:t xml:space="preserve"> </w:t>
      </w:r>
      <w:r>
        <w:rPr>
          <w:rStyle w:val="VerbatimChar"/>
        </w:rPr>
        <w:t xml:space="preserve">BUG-14</w:t>
      </w:r>
      <w:r>
        <w:t xml:space="preserve"> </w:t>
      </w:r>
      <w:r>
        <w:t xml:space="preserve">is what that looks like from the</w:t>
      </w:r>
      <w:r>
        <w:t xml:space="preserve"> </w:t>
      </w:r>
      <w:r>
        <w:t xml:space="preserve">outside.</w:t>
      </w:r>
    </w:p>
    <w:p>
      <w:pPr>
        <w:pStyle w:val="Heading2"/>
      </w:pPr>
      <w:bookmarkStart w:id="24" w:name="deployed-and-verified"/>
      <w:r>
        <w:t xml:space="preserve">Deployed and verified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z:f817f49837375d99b44cbf8907becc154f2a5fc9:expense-guard</w:t>
            </w:r>
            <w:r>
              <w:t xml:space="preserve"> </w:t>
            </w:r>
            <w:r>
              <w:t xml:space="preserve">v0.1.0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numeric contract id (what map ACLs take)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wasm</w:t>
            </w:r>
          </w:p>
        </w:tc>
        <w:tc>
          <w:p>
            <w:pPr>
              <w:pStyle w:val="Compact"/>
              <w:jc w:val="left"/>
            </w:pPr>
            <w:r>
              <w:t xml:space="preserve">255,734 bytes, sha256</w:t>
            </w:r>
            <w:r>
              <w:t xml:space="preserve"> </w:t>
            </w:r>
            <w:r>
              <w:rPr>
                <w:rStyle w:val="VerbatimChar"/>
              </w:rPr>
              <w:t xml:space="preserve">5dd3a964bc2e0b3f…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 validation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wasm-tools validate</w:t>
            </w:r>
            <w:r>
              <w:t xml:space="preserve"> </w:t>
            </w:r>
            <w:r>
              <w:t xml:space="preserve">OK; import set identical to the vendor sample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native tests</w:t>
            </w:r>
          </w:p>
        </w:tc>
        <w:tc>
          <w:p>
            <w:pPr>
              <w:pStyle w:val="Compact"/>
              <w:jc w:val="left"/>
            </w:pPr>
            <w:r>
              <w:t xml:space="preserve">115 unit tests + 1 doctest, green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demo</w:t>
            </w:r>
          </w:p>
        </w:tc>
        <w:tc>
          <w:p>
            <w:pPr>
              <w:pStyle w:val="Compact"/>
              <w:jc w:val="left"/>
            </w:pPr>
            <w:r>
              <w:t xml:space="preserve">8 of 8 steps green, run twice back to back — health, delegation, policy, FX-converted verdict, duplicate, threshold, rejection, ledger read-back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outbound HTTP from the enclave</w:t>
            </w:r>
          </w:p>
        </w:tc>
        <w:tc>
          <w:p>
            <w:pPr>
              <w:pStyle w:val="Compact"/>
              <w:jc w:val="left"/>
            </w:pPr>
            <w:r>
              <w:t xml:space="preserve">real:</w:t>
            </w:r>
            <w:r>
              <w:t xml:space="preserve"> </w:t>
            </w:r>
            <w:r>
              <w:rPr>
                <w:rStyle w:val="VerbatimChar"/>
              </w:rPr>
              <w:t xml:space="preserve">fx_source: open.er-api.com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fx_rate: 1.153788</w:t>
            </w:r>
            <w:r>
              <w:t xml:space="preserve"> </w:t>
            </w:r>
            <w:r>
              <w:t xml:space="preserve">for a EUR claim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 DID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did:t3n:f817f49837375d99b44cbf8907becc154f2a5fc9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 / agent DID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did:t3n:85c188ff697c5c7aae96b495bdc8c087dcdae4c9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did:t3n:a13591f52ba98b9068801c80719e56d03c74ee81</w:t>
            </w:r>
          </w:p>
        </w:tc>
      </w:tr>
    </w:tbl>
    <w:p>
      <w:pPr>
        <w:pStyle w:val="BodyText"/>
      </w:pPr>
      <w:r>
        <w:rPr>
          <w:b/>
        </w:rPr>
        <w:t xml:space="preserve">The demo transcript is the evidence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client/demo-output/&lt;TIMESTAMP&gt;-invoke.json</w:t>
      </w:r>
      <w:r>
        <w:t xml:space="preserve"> </w:t>
      </w:r>
      <w:r>
        <w:t xml:space="preserve">is the raw output of</w:t>
      </w:r>
      <w:r>
        <w:t xml:space="preserve"> </w:t>
      </w:r>
      <w:r>
        <w:rPr>
          <w:rStyle w:val="VerbatimChar"/>
        </w:rPr>
        <w:t xml:space="preserve">npm run demo</w:t>
      </w:r>
      <w:r>
        <w:t xml:space="preserve"> </w:t>
      </w:r>
      <w:r>
        <w:t xml:space="preserve">— a real agent session, against the registered contract, on testnet. Every step records what was asked, what came back, and how it was classified.</w:t>
      </w:r>
    </w:p>
    <w:p>
      <w:pPr>
        <w:pStyle w:val="Heading2"/>
      </w:pPr>
      <w:bookmarkStart w:id="25" w:name="what-we-found-while-building-it"/>
      <w:r>
        <w:t xml:space="preserve">What we found while building it</w:t>
      </w:r>
      <w:bookmarkEnd w:id="25"/>
    </w:p>
    <w:p>
      <w:pPr>
        <w:pStyle w:val="FirstParagraph"/>
      </w:pPr>
      <w:r>
        <w:rPr>
          <w:rStyle w:val="VerbatimChar"/>
        </w:rPr>
        <w:t xml:space="preserve">docs/BUGLOG.md</w:t>
      </w:r>
      <w:r>
        <w:t xml:space="preserve"> </w:t>
      </w:r>
      <w:r>
        <w:t xml:space="preserve">documents 15 defects we hit and reproduced, each with the file and line, a verbatim error, and a proposed fix. The one that cost us the most is also the cheapest to fix: an agent call that names no acting identity is resolved as a</w:t>
      </w:r>
      <w:r>
        <w:t xml:space="preserve"> </w:t>
      </w:r>
      <w:r>
        <w:rPr>
          <w:b/>
        </w:rPr>
        <w:t xml:space="preserve">self</w:t>
      </w:r>
      <w:r>
        <w:t xml:space="preserve"> </w:t>
      </w:r>
      <w:r>
        <w:t xml:space="preserve">call, so the enclave looks for the contract’s egress grant on the agent’s own document, finds nothing, and denies the contract’s outbound HTTP with</w:t>
      </w:r>
      <w:r>
        <w:t xml:space="preserve"> </w:t>
      </w:r>
      <w:r>
        <w:rPr>
          <w:rStyle w:val="VerbatimChar"/>
        </w:rPr>
        <w:t xml:space="preserve">host/http.egress_denied ... not in the resolved allowlist []</w:t>
      </w:r>
      <w:r>
        <w:t xml:space="preserve"> </w:t>
      </w:r>
      <w:r>
        <w:t xml:space="preserve">— while the correct grant sits on the delegator’s document, echoed back intact by</w:t>
      </w:r>
      <w:r>
        <w:t xml:space="preserve"> </w:t>
      </w:r>
      <w:r>
        <w:rPr>
          <w:rStyle w:val="VerbatimChar"/>
        </w:rPr>
        <w:t xml:space="preserve">member-delegation-get</w:t>
      </w:r>
      <w:r>
        <w:t xml:space="preserve">. Every signal said the write had worked, and the one API that exists to name the missing edge,</w:t>
      </w:r>
      <w:r>
        <w:t xml:space="preserve"> </w:t>
      </w:r>
      <w:r>
        <w:rPr>
          <w:rStyle w:val="VerbatimChar"/>
        </w:rPr>
        <w:t xml:space="preserve">discoverCheckDelegation</w:t>
      </w:r>
      <w:r>
        <w:t xml:space="preserve">, returned</w:t>
      </w:r>
      <w:r>
        <w:t xml:space="preserve"> </w:t>
      </w:r>
      <w:r>
        <w:rPr>
          <w:rStyle w:val="VerbatimChar"/>
        </w:rPr>
        <w:t xml:space="preserve">authorised: false</w:t>
      </w:r>
      <w:r>
        <w:t xml:space="preserve"> </w:t>
      </w:r>
      <w:r>
        <w:t xml:space="preserve">with an empty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list. A second one belongs in the same report: the SDK’s declared grant row (</w:t>
      </w:r>
      <w:r>
        <w:rPr>
          <w:rStyle w:val="VerbatimChar"/>
        </w:rPr>
        <w:t xml:space="preserve">function: string</w:t>
      </w:r>
      <w:r>
        <w:t xml:space="preserve">, with a comment describing the multi-function form as retired) is rejected by the node outright, which accepts</w:t>
      </w:r>
      <w:r>
        <w:t xml:space="preserve"> </w:t>
      </w:r>
      <w:r>
        <w:rPr>
          <w:rStyle w:val="VerbatimChar"/>
        </w:rPr>
        <w:t xml:space="preserve">functions: [...]</w:t>
      </w:r>
      <w:r>
        <w:t xml:space="preserve"> </w:t>
      </w:r>
      <w:r>
        <w:t xml:space="preserve">— the shape the docs use. The others range from a duplicate import that stops the documented first paste from compiling, through a</w:t>
      </w:r>
      <w:r>
        <w:t xml:space="preserve"> </w:t>
      </w:r>
      <w:r>
        <w:rPr>
          <w:rStyle w:val="VerbatimChar"/>
        </w:rPr>
        <w:t xml:space="preserve">.cargo/config.toml</w:t>
      </w:r>
      <w:r>
        <w:t xml:space="preserve"> </w:t>
      </w:r>
      <w:r>
        <w:t xml:space="preserve">that makes the vendor sample’s own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fail, four host-ABI capabilities (</w:t>
      </w:r>
      <w:r>
        <w:rPr>
          <w:rStyle w:val="VerbatimChar"/>
        </w:rPr>
        <w:t xml:space="preserve">kv-store.scan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set-claims-digest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token.get-balance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seq-no</w:t>
      </w:r>
      <w:r>
        <w:t xml:space="preserve">) that exist in the vendored WIT and in none of the 48 published docs, an SDK shipped obfuscated with no source maps while the source repository is private, a</w:t>
      </w:r>
      <w:r>
        <w:t xml:space="preserve"> </w:t>
      </w:r>
      <w:r>
        <w:rPr>
          <w:rStyle w:val="VerbatimChar"/>
        </w:rPr>
        <w:t xml:space="preserve">contract_id</w:t>
      </w:r>
      <w:r>
        <w:t xml:space="preserve"> </w:t>
      </w:r>
      <w:r>
        <w:t xml:space="preserve">split whose numeric half cannot be read back after a re-registration, to a CLI that cannot read an agent’s balance because it only accepts private keys.</w:t>
      </w:r>
    </w:p>
    <w:p>
      <w:pPr>
        <w:pStyle w:val="Heading2"/>
      </w:pPr>
      <w:bookmarkStart w:id="26" w:name="reproducing-it"/>
      <w:r>
        <w:t xml:space="preserve">Reproducing it</w:t>
      </w:r>
      <w:bookmarkEnd w:id="26"/>
    </w:p>
    <w:p>
      <w:pPr>
        <w:pStyle w:val="SourceCode"/>
      </w:pPr>
      <w:r>
        <w:rPr>
          <w:rStyle w:val="CommentTok"/>
        </w:rPr>
        <w:t xml:space="preserve"># contract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contract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--target wasm32-wasip2 --release</w:t>
      </w:r>
      <w:r>
        <w:br/>
      </w:r>
      <w:r>
        <w:br/>
      </w:r>
      <w:r>
        <w:rPr>
          <w:rStyle w:val="CommentTok"/>
        </w:rPr>
        <w:t xml:space="preserve"># client (three credentials in client/.env, 0600)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../client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doctor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register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delegate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demo</w:t>
      </w:r>
    </w:p>
    <w:p>
      <w:pPr>
        <w:pStyle w:val="FirstParagraph"/>
      </w:pPr>
      <w:r>
        <w:rPr>
          <w:rStyle w:val="VerbatimChar"/>
        </w:rPr>
        <w:t xml:space="preserve">docs/RUNBOOK.md</w:t>
      </w:r>
      <w:r>
        <w:t xml:space="preserve"> </w:t>
      </w:r>
      <w:r>
        <w:t xml:space="preserve">has the full sequence, the expected output and the failure modes;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 </w:t>
      </w:r>
      <w:r>
        <w:t xml:space="preserve">explains why the boundaries sit where they do;</w:t>
      </w:r>
      <w:r>
        <w:t xml:space="preserve"> </w:t>
      </w:r>
      <w:r>
        <w:rPr>
          <w:rStyle w:val="VerbatimChar"/>
        </w:rPr>
        <w:t xml:space="preserve">docs/INTERFACE.md</w:t>
      </w:r>
      <w:r>
        <w:t xml:space="preserve"> </w:t>
      </w:r>
      <w:r>
        <w:t xml:space="preserve">is the frozen contract interface.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2026-09-16T07:26:42Z</dcterms:created>
  <dcterms:modified xsi:type="dcterms:W3CDTF">2026-09-16T07:26:42Z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