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EE3EPJ Plan to 90%</w:t>
      </w:r>
    </w:p>
    <w:p>
      <w:pPr/>
      <w:r>
        <w:t xml:space="preserve">Oct 23, 2026</w:t>
      </w:r>
      <w:r>
        <w:t xml:space="preserve"> · </w:t>
      </w:r>
      <w:r>
        <w:t xml:space="preserve">@Tomi</w:t>
      </w:r>
    </w:p>
    <w:p>
      <w:pPr>
        <w:pStyle w:val="Heading2"/>
      </w:pPr>
      <w:r>
        <w:t xml:space="preserve">Where the remaining marks are</w:t>
      </w:r>
    </w:p>
    <w:p>
      <w:pPr/>
      <w:r>
        <w:t xml:space="preserve">The proposal (46.9%) is done; four assessed components remain, and together they carry most of the module. The target is 90%+ on each; even falling short of that leaves a safe margin above 70 for a first, despite the proposal mark.</w:t>
      </w:r>
    </w:p>
    <w:tbl>
      <w:tblPr>
        <w:tblStyle w:val="TableGrid"/>
        <w:tblW w:w="0" w:type="auto"/>
        <w:tblLayout w:type="fixed"/>
        <w:tblLook w:val="04A0" w:firstRow="1" w:lastRow="0" w:firstColumn="0" w:lastColumn="0" w:noHBand="0" w:noVBand="1"/>
      </w:tblPr>
      <w:tblGrid>
        <w:gridCol w:w="1390"/>
        <w:gridCol w:w="1826"/>
        <w:gridCol w:w="1818"/>
        <w:gridCol w:w="4326"/>
      </w:tblGrid>
      <w:tr>
        <w:trPr>
          <w:tblHeader/>
        </w:trPr>
        <w:tc>
          <w:tcPr>
            <w:tcW w:w="1390" w:type="dxa"/>
            <w:shd w:val="clear" w:color="auto" w:fill="F2F2F2"/>
          </w:tcPr>
          <w:p>
            <w:pPr/>
            <w:r>
              <w:t xml:space="preserve">Component</w:t>
            </w:r>
          </w:p>
        </w:tc>
        <w:tc>
          <w:tcPr>
            <w:tcW w:w="1826" w:type="dxa"/>
            <w:shd w:val="clear" w:color="auto" w:fill="F2F2F2"/>
          </w:tcPr>
          <w:p>
            <w:pPr/>
            <w:r>
              <w:t xml:space="preserve">When</w:t>
            </w:r>
          </w:p>
        </w:tc>
        <w:tc>
          <w:tcPr>
            <w:tcW w:w="1818" w:type="dxa"/>
            <w:shd w:val="clear" w:color="auto" w:fill="F2F2F2"/>
          </w:tcPr>
          <w:p>
            <w:pPr/>
            <w:r>
              <w:t xml:space="preserve">Evidence the assessors use</w:t>
            </w:r>
          </w:p>
        </w:tc>
        <w:tc>
          <w:tcPr>
            <w:tcW w:w="4326" w:type="dxa"/>
            <w:shd w:val="clear" w:color="auto" w:fill="F2F2F2"/>
          </w:tcPr>
          <w:p>
            <w:pPr/>
            <w:r>
              <w:t xml:space="preserve">What a top mark needs (from the handbook)</w:t>
            </w:r>
          </w:p>
        </w:tc>
      </w:tr>
      <w:tr>
        <w:tc>
          <w:tcPr>
            <w:tcW w:w="1390" w:type="dxa"/>
          </w:tcPr>
          <w:p>
            <w:pPr/>
            <w:r>
              <w:t xml:space="preserve">Mid-term review</w:t>
            </w:r>
          </w:p>
        </w:tc>
        <w:tc>
          <w:tcPr>
            <w:tcW w:w="1826" w:type="dxa"/>
          </w:tcPr>
          <w:p>
            <w:pPr/>
            <w:r>
              <w:t xml:space="preserve">Mid TP2, about week 19 (w/c 22 Feb)</w:t>
            </w:r>
          </w:p>
        </w:tc>
        <w:tc>
          <w:tcPr>
            <w:tcW w:w="1818" w:type="dxa"/>
          </w:tcPr>
          <w:p>
            <w:pPr/>
            <w:r>
              <w:t xml:space="preserve">Oral report, </w:t>
            </w:r>
            <w:r>
              <w:rPr>
                <w:b/>
              </w:rPr>
              <w:t xml:space="preserve">signed logbook</w:t>
            </w:r>
            <w:r>
              <w:t xml:space="preserve">, </w:t>
            </w:r>
            <w:r>
              <w:rPr>
                <w:b/>
              </w:rPr>
              <w:t xml:space="preserve">technical literature review</w:t>
            </w:r>
            <w:r>
              <w:t xml:space="preserve">, original and revised Gantt chart, meeting with supervisor and moderator</w:t>
            </w:r>
          </w:p>
        </w:tc>
        <w:tc>
          <w:tcPr>
            <w:tcW w:w="4326" w:type="dxa"/>
          </w:tcPr>
          <w:p>
            <w:pPr/>
            <w:r>
              <w:t xml:space="preserve">Proposed final design; literature evidence; justification of the approach; work done; remaining plan; extra resources needed; original vs revised plan showing slippage and how changes were decided. Must be passed to continue.</w:t>
            </w:r>
          </w:p>
        </w:tc>
      </w:tr>
      <w:tr>
        <w:tc>
          <w:tcPr>
            <w:tcW w:w="1390" w:type="dxa"/>
          </w:tcPr>
          <w:p>
            <w:pPr/>
            <w:r>
              <w:t xml:space="preserve">Practical realisation</w:t>
            </w:r>
          </w:p>
        </w:tc>
        <w:tc>
          <w:tcPr>
            <w:tcW w:w="1826" w:type="dxa"/>
          </w:tcPr>
          <w:p>
            <w:pPr/>
            <w:r>
              <w:t xml:space="preserve">Demonstration, w/c 10 May; report annexe</w:t>
            </w:r>
          </w:p>
        </w:tc>
        <w:tc>
          <w:tcPr>
            <w:tcW w:w="1818" w:type="dxa"/>
          </w:tcPr>
          <w:p>
            <w:pPr/>
            <w:r>
              <w:t xml:space="preserve">Working hardware and software, design documents, all code in the annexe</w:t>
            </w:r>
          </w:p>
        </w:tc>
        <w:tc>
          <w:tcPr>
            <w:tcW w:w="4326" w:type="dxa"/>
          </w:tcPr>
          <w:p>
            <w:pPr/>
            <w:r>
              <w:t xml:space="preserve">A full life cycle: requirements, architecture, implementation, testing, documentation, ideally more than one prototype iteration. Quantitative data showing how close each objective came, and by how much and why where it fell short.</w:t>
            </w:r>
          </w:p>
        </w:tc>
      </w:tr>
      <w:tr>
        <w:tc>
          <w:tcPr>
            <w:tcW w:w="1390" w:type="dxa"/>
          </w:tcPr>
          <w:p>
            <w:pPr/>
            <w:r>
              <w:t xml:space="preserve">Evaluation and reflection</w:t>
            </w:r>
          </w:p>
        </w:tc>
        <w:tc>
          <w:tcPr>
            <w:tcW w:w="1826" w:type="dxa"/>
          </w:tcPr>
          <w:p>
            <w:pPr/>
            <w:r>
              <w:t xml:space="preserve">Report, due Fri 23 Apr</w:t>
            </w:r>
          </w:p>
        </w:tc>
        <w:tc>
          <w:tcPr>
            <w:tcW w:w="1818" w:type="dxa"/>
          </w:tcPr>
          <w:p>
            <w:pPr/>
            <w:r>
              <w:t xml:space="preserve">Evaluation and conclusion chapters</w:t>
            </w:r>
          </w:p>
        </w:tc>
        <w:tc>
          <w:tcPr>
            <w:tcW w:w="4326" w:type="dxa"/>
          </w:tcPr>
          <w:p>
            <w:pPr/>
            <w:r>
              <w:t xml:space="preserve">Systematic, evidence-based comparison of outcomes with objectives; usability; merit of methods against alternatives; lessons learned; further work; significance of experimental results.</w:t>
            </w:r>
          </w:p>
        </w:tc>
      </w:tr>
      <w:tr>
        <w:tc>
          <w:tcPr>
            <w:tcW w:w="1390" w:type="dxa"/>
          </w:tcPr>
          <w:p>
            <w:pPr/>
            <w:r>
              <w:t xml:space="preserve">Exposition</w:t>
            </w:r>
          </w:p>
        </w:tc>
        <w:tc>
          <w:tcPr>
            <w:tcW w:w="1826" w:type="dxa"/>
          </w:tcPr>
          <w:p>
            <w:pPr/>
            <w:r>
              <w:t xml:space="preserve">Report and demonstration</w:t>
            </w:r>
          </w:p>
        </w:tc>
        <w:tc>
          <w:tcPr>
            <w:tcW w:w="1818" w:type="dxa"/>
          </w:tcPr>
          <w:p>
            <w:pPr/>
            <w:r>
              <w:t xml:space="preserve">The whole report; clarity of the demo and answers to questions</w:t>
            </w:r>
          </w:p>
        </w:tc>
        <w:tc>
          <w:tcPr>
            <w:tcW w:w="4326" w:type="dxa"/>
          </w:tcPr>
          <w:p>
            <w:pPr/>
            <w:r>
              <w:t xml:space="preserve">Organised, justified description of objectives, context, activities and outcomes; formal design artefacts; an accurate reference list; clear, accurate language.</w:t>
            </w:r>
          </w:p>
        </w:tc>
      </w:tr>
    </w:tbl>
    <w:p>
      <w:pPr/>
      <w:r>
        <w:rPr>
          <w:b/>
        </w:rPr>
        <w:t xml:space="preserve">What the numbers mean.</w:t>
      </w:r>
      <w:r>
        <w:t xml:space="preserve"> The proposal's weight is in the module specification on Blackboard. If it is 10% of the module, the rest needs to average about 73% for a module mark of 70, 84% for 80 and 95% for 90. So 90 overall is now a stretch; 80+ on every remaining component is the realistic target, and it gives a first with room to spare.</w:t>
      </w:r>
    </w:p>
    <w:p>
      <w:pPr/>
      <w:r>
        <w:rPr>
          <w:b/>
        </w:rPr>
        <w:t xml:space="preserve">Open questions:</w:t>
      </w:r>
      <w:r>
        <w:t xml:space="preserve"> the proposal's weighting (module specification); the marking forms for the mid-term and final assessment ("Descriptors" on the VLE), so each piece of work can be checked against the top band before it is handed in.</w:t>
      </w:r>
    </w:p>
    <w:p>
      <w:pPr>
        <w:pStyle w:val="Heading2"/>
      </w:pPr>
      <w:r>
        <w:t xml:space="preserve">The 90+ standard, component by component</w:t>
      </w:r>
    </w:p>
    <w:p>
      <w:pPr/>
      <w:r>
        <w:t xml:space="preserve">A 90 is given for work that matches the top band of the descriptors, so each component below lists the proof you will hand over, in a form an assessor can check in seconds. The top-band wording comes from the proposal rubric and the handbook; check it against the mid-term and final marking forms once you have them.</w:t>
      </w:r>
    </w:p>
    <w:tbl>
      <w:tblPr>
        <w:tblStyle w:val="TableGrid"/>
        <w:tblW w:w="0" w:type="auto"/>
        <w:tblLayout w:type="fixed"/>
        <w:tblLook w:val="04A0" w:firstRow="1" w:lastRow="0" w:firstColumn="0" w:lastColumn="0" w:noHBand="0" w:noVBand="1"/>
      </w:tblPr>
      <w:tblGrid>
        <w:gridCol w:w="2849"/>
        <w:gridCol w:w="1879"/>
        <w:gridCol w:w="4632"/>
      </w:tblGrid>
      <w:tr>
        <w:trPr>
          <w:tblHeader/>
        </w:trPr>
        <w:tc>
          <w:tcPr>
            <w:tcW w:w="2849" w:type="dxa"/>
            <w:shd w:val="clear" w:color="auto" w:fill="F2F2F2"/>
          </w:tcPr>
          <w:p>
            <w:pPr/>
            <w:r>
              <w:t xml:space="preserve">Component</w:t>
            </w:r>
          </w:p>
        </w:tc>
        <w:tc>
          <w:tcPr>
            <w:tcW w:w="1879" w:type="dxa"/>
            <w:shd w:val="clear" w:color="auto" w:fill="F2F2F2"/>
          </w:tcPr>
          <w:p>
            <w:pPr/>
            <w:r>
              <w:t xml:space="preserve">What the top band asks for</w:t>
            </w:r>
          </w:p>
        </w:tc>
        <w:tc>
          <w:tcPr>
            <w:tcW w:w="4632" w:type="dxa"/>
            <w:shd w:val="clear" w:color="auto" w:fill="F2F2F2"/>
          </w:tcPr>
          <w:p>
            <w:pPr/>
            <w:r>
              <w:t xml:space="preserve">The proof you hand over</w:t>
            </w:r>
          </w:p>
        </w:tc>
      </w:tr>
      <w:tr>
        <w:tc>
          <w:tcPr>
            <w:tcW w:w="2849" w:type="dxa"/>
          </w:tcPr>
          <w:p>
            <w:pPr/>
            <w:r>
              <w:t xml:space="preserve">Mid-term review</w:t>
            </w:r>
          </w:p>
        </w:tc>
        <w:tc>
          <w:tcPr>
            <w:tcW w:w="1879" w:type="dxa"/>
          </w:tcPr>
          <w:p>
            <w:pPr/>
            <w:r>
              <w:t xml:space="preserve">All seven handbook items covered; progress against the original objectives; management visible in the logbook</w:t>
            </w:r>
          </w:p>
        </w:tc>
        <w:tc>
          <w:tcPr>
            <w:tcW w:w="4632" w:type="dxa"/>
          </w:tcPr>
          <w:p>
            <w:pPr/>
            <w:r>
              <w:t xml:space="preserve">10-minute deck covering the seven items in order; O1–O4 passed, each with a one-page test sheet; logbook with a signed entry for every meeting (about 12 by February); literature review chapter (about 3,000 words, 30+ sources); original and revised Gantt with every slip explained; updated risk register; a 60-second video of the controller re-planning on the ESP32</w:t>
            </w:r>
          </w:p>
        </w:tc>
      </w:tr>
      <w:tr>
        <w:tc>
          <w:tcPr>
            <w:tcW w:w="2849" w:type="dxa"/>
          </w:tcPr>
          <w:p>
            <w:pPr/>
            <w:r>
              <w:t xml:space="preserve">Practical realisation</w:t>
            </w:r>
          </w:p>
        </w:tc>
        <w:tc>
          <w:tcPr>
            <w:tcW w:w="1879" w:type="dxa"/>
          </w:tcPr>
          <w:p>
            <w:pPr/>
            <w:r>
              <w:t xml:space="preserve">Full life cycle; prototype iterations; numerous design trade-offs optimised (cost, size, accuracy, speed)</w:t>
            </w:r>
          </w:p>
        </w:tc>
        <w:tc>
          <w:tcPr>
            <w:tcW w:w="4632" w:type="dxa"/>
          </w:tcPr>
          <w:p>
            <w:pPr/>
            <w:r>
              <w:t xml:space="preserve">Requirements specification (R1–R25) traced to tests; design calculations; three PCBs, with at least one revision B to show iteration; firmware with unit tests; four trade-off studies; every objective measured against its target; live demonstration with a recorded backup; a tidy code annexe with a README</w:t>
            </w:r>
          </w:p>
        </w:tc>
      </w:tr>
      <w:tr>
        <w:tc>
          <w:tcPr>
            <w:tcW w:w="2849" w:type="dxa"/>
          </w:tcPr>
          <w:p>
            <w:pPr/>
            <w:r>
              <w:t xml:space="preserve">Evaluation and reflection</w:t>
            </w:r>
          </w:p>
        </w:tc>
        <w:tc>
          <w:tcPr>
            <w:tcW w:w="1879" w:type="dxa"/>
          </w:tcPr>
          <w:p>
            <w:pPr/>
            <w:r>
              <w:t xml:space="preserve">Systematic, evidence-based comparison with every objective; significance of results; methods weighed against alternatives; lessons and further work</w:t>
            </w:r>
          </w:p>
        </w:tc>
        <w:tc>
          <w:tcPr>
            <w:tcW w:w="4632" w:type="dxa"/>
          </w:tcPr>
          <w:p>
            <w:pPr/>
            <w:r>
              <w:t xml:space="preserve">Objective-by-objective table (target, result, met or by how much missed, why); five scenarios over 365 days with 95% confidence intervals and Wilcoxon tests; simulation against rig error analysis; methods against alternatives table; usability assessment; lessons learned; further work in priority order</w:t>
            </w:r>
          </w:p>
        </w:tc>
      </w:tr>
      <w:tr>
        <w:tc>
          <w:tcPr>
            <w:tcW w:w="2849" w:type="dxa"/>
          </w:tcPr>
          <w:p>
            <w:pPr/>
            <w:r>
              <w:t xml:space="preserve">Exposition</w:t>
            </w:r>
          </w:p>
        </w:tc>
        <w:tc>
          <w:tcPr>
            <w:tcW w:w="1879" w:type="dxa"/>
          </w:tcPr>
          <w:p>
            <w:pPr/>
            <w:r>
              <w:t xml:space="preserve">Organised, cogent, justified; formal design artefacts; accurate references; high standard of language</w:t>
            </w:r>
          </w:p>
        </w:tc>
        <w:tc>
          <w:tcPr>
            <w:tcW w:w="4632" w:type="dxa"/>
          </w:tcPr>
          <w:p>
            <w:pPr/>
            <w:r>
              <w:t xml:space="preserve">Every figure numbered, captioned and cited in the text; consistent units and symbols; 40+ accurate IEEE references; formal artefacts (requirements, schematics, state diagrams, test tables); proofread twice plus one read by someone else; at the demo, a rehearsed 3-minute walkthrough and short, confident answers</w:t>
            </w:r>
          </w:p>
        </w:tc>
      </w:tr>
    </w:tbl>
    <w:p>
      <w:pPr/>
      <w:r>
        <w:rPr>
          <w:b/>
        </w:rPr>
        <w:t xml:space="preserve">A note on 100.</w:t>
      </w:r>
      <w:r>
        <w:t xml:space="preserve"> Markers rarely give full marks, but the top band is reachable. The surest way there is to leave nothing for the assessor to infer: every claim is measured, every choice is justified against alternatives, and every limitation is stated before they find it.</w:t>
      </w:r>
    </w:p>
    <w:p>
      <w:pPr>
        <w:pStyle w:val="Heading2"/>
      </w:pPr>
      <w:r>
        <w:t xml:space="preserve">What the 46.9% teaches</w:t>
      </w:r>
    </w:p>
    <w:p>
      <w:pPr/>
      <w:r>
        <w:t xml:space="preserve">Every weakness the panel marked comes back in the mid-term review or the report, so each one is fixed now, not later. The technical risk score (2.125) sat exactly on the BEng threshold: one notch lower would have capped the whole mark at 35%.</w:t>
      </w:r>
    </w:p>
    <w:tbl>
      <w:tblPr>
        <w:tblStyle w:val="TableGrid"/>
        <w:tblW w:w="0" w:type="auto"/>
        <w:tblLayout w:type="fixed"/>
        <w:tblLook w:val="04A0" w:firstRow="1" w:lastRow="0" w:firstColumn="0" w:lastColumn="0" w:noHBand="0" w:noVBand="1"/>
      </w:tblPr>
      <w:tblGrid>
        <w:gridCol w:w="1430"/>
        <w:gridCol w:w="1146"/>
        <w:gridCol w:w="1943"/>
        <w:gridCol w:w="2978"/>
        <w:gridCol w:w="1863"/>
      </w:tblGrid>
      <w:tr>
        <w:trPr>
          <w:tblHeader/>
        </w:trPr>
        <w:tc>
          <w:tcPr>
            <w:tcW w:w="1430" w:type="dxa"/>
            <w:shd w:val="clear" w:color="auto" w:fill="F2F2F2"/>
          </w:tcPr>
          <w:p>
            <w:pPr/>
            <w:r>
              <w:t xml:space="preserve">Area (weight)</w:t>
            </w:r>
          </w:p>
        </w:tc>
        <w:tc>
          <w:tcPr>
            <w:tcW w:w="1146" w:type="dxa"/>
            <w:shd w:val="clear" w:color="auto" w:fill="F2F2F2"/>
          </w:tcPr>
          <w:p>
            <w:pPr/>
            <w:r>
              <w:t xml:space="preserve">Score /5</w:t>
            </w:r>
          </w:p>
        </w:tc>
        <w:tc>
          <w:tcPr>
            <w:tcW w:w="1943" w:type="dxa"/>
            <w:shd w:val="clear" w:color="auto" w:fill="F2F2F2"/>
          </w:tcPr>
          <w:p>
            <w:pPr/>
            <w:r>
              <w:t xml:space="preserve">What the panel said</w:t>
            </w:r>
          </w:p>
        </w:tc>
        <w:tc>
          <w:tcPr>
            <w:tcW w:w="2978" w:type="dxa"/>
            <w:shd w:val="clear" w:color="auto" w:fill="F2F2F2"/>
          </w:tcPr>
          <w:p>
            <w:pPr/>
            <w:r>
              <w:t xml:space="preserve">Fix</w:t>
            </w:r>
          </w:p>
        </w:tc>
        <w:tc>
          <w:tcPr>
            <w:tcW w:w="1863" w:type="dxa"/>
            <w:shd w:val="clear" w:color="auto" w:fill="F2F2F2"/>
          </w:tcPr>
          <w:p>
            <w:pPr/>
            <w:r>
              <w:t xml:space="preserve">Where it pays again</w:t>
            </w:r>
          </w:p>
        </w:tc>
      </w:tr>
      <w:tr>
        <w:tc>
          <w:tcPr>
            <w:tcW w:w="1430" w:type="dxa"/>
          </w:tcPr>
          <w:p>
            <w:pPr/>
            <w:r>
              <w:t xml:space="preserve">Scope (15%)</w:t>
            </w:r>
          </w:p>
        </w:tc>
        <w:tc>
          <w:tcPr>
            <w:tcW w:w="1146" w:type="dxa"/>
          </w:tcPr>
          <w:p>
            <w:pPr/>
            <w:r>
              <w:t xml:space="preserve">2.375</w:t>
            </w:r>
          </w:p>
        </w:tc>
        <w:tc>
          <w:tcPr>
            <w:tcW w:w="1943" w:type="dxa"/>
          </w:tcPr>
          <w:p>
            <w:pPr/>
            <w:r>
              <w:t xml:space="preserve">Problem, solution and literature review all "ambiguous"</w:t>
            </w:r>
          </w:p>
        </w:tc>
        <w:tc>
          <w:tcPr>
            <w:tcW w:w="2978" w:type="dxa"/>
          </w:tcPr>
          <w:p>
            <w:pPr/>
            <w:r>
              <w:t xml:space="preserve">A written technical literature review ending in a clear gap; one-sentence problem and solution</w:t>
            </w:r>
          </w:p>
        </w:tc>
        <w:tc>
          <w:tcPr>
            <w:tcW w:w="1863" w:type="dxa"/>
          </w:tcPr>
          <w:p>
            <w:pPr/>
            <w:r>
              <w:t xml:space="preserve">Mid-term (literature review is required); report introduction and literature chapter</w:t>
            </w:r>
          </w:p>
        </w:tc>
      </w:tr>
      <w:tr>
        <w:tc>
          <w:tcPr>
            <w:tcW w:w="1430" w:type="dxa"/>
          </w:tcPr>
          <w:p>
            <w:pPr/>
            <w:r>
              <w:t xml:space="preserve">Complexity (25%)</w:t>
            </w:r>
          </w:p>
        </w:tc>
        <w:tc>
          <w:tcPr>
            <w:tcW w:w="1146" w:type="dxa"/>
          </w:tcPr>
          <w:p>
            <w:pPr/>
            <w:r>
              <w:t xml:space="preserve">2.375</w:t>
            </w:r>
          </w:p>
        </w:tc>
        <w:tc>
          <w:tcPr>
            <w:tcW w:w="1943" w:type="dxa"/>
          </w:tcPr>
          <w:p>
            <w:pPr/>
            <w:r>
              <w:t xml:space="preserve">SMART objectives ambiguous; novelty "transferred"; "complexity is ambiguous in hardware part"</w:t>
            </w:r>
          </w:p>
        </w:tc>
        <w:tc>
          <w:tcPr>
            <w:tcW w:w="2978" w:type="dxa"/>
          </w:tcPr>
          <w:p>
            <w:pPr/>
            <w:r>
              <w:t xml:space="preserve">Eight SMART objectives with named tests; three designed boards (v5 deck); novelty argued against the literature</w:t>
            </w:r>
          </w:p>
        </w:tc>
        <w:tc>
          <w:tcPr>
            <w:tcW w:w="1863" w:type="dxa"/>
          </w:tcPr>
          <w:p>
            <w:pPr/>
            <w:r>
              <w:t xml:space="preserve">Practical realisation; evaluation against objectives</w:t>
            </w:r>
          </w:p>
        </w:tc>
      </w:tr>
      <w:tr>
        <w:tc>
          <w:tcPr>
            <w:tcW w:w="1430" w:type="dxa"/>
          </w:tcPr>
          <w:p>
            <w:pPr/>
            <w:r>
              <w:t xml:space="preserve">Planning (25%)</w:t>
            </w:r>
          </w:p>
        </w:tc>
        <w:tc>
          <w:tcPr>
            <w:tcW w:w="1146" w:type="dxa"/>
          </w:tcPr>
          <w:p>
            <w:pPr/>
            <w:r>
              <w:t xml:space="preserve">2.375</w:t>
            </w:r>
          </w:p>
        </w:tc>
        <w:tc>
          <w:tcPr>
            <w:tcW w:w="1943" w:type="dxa"/>
          </w:tcPr>
          <w:p>
            <w:pPr/>
            <w:r>
              <w:t xml:space="preserve">Methodology ambiguous; "task descriptions a bit generic"</w:t>
            </w:r>
          </w:p>
        </w:tc>
        <w:tc>
          <w:tcPr>
            <w:tcW w:w="2978" w:type="dxa"/>
          </w:tcPr>
          <w:p>
            <w:pPr/>
            <w:r>
              <w:t xml:space="preserve">Tasks with a deliverable and a check each; short build–test iterations; a baseline Gantt kept for comparison</w:t>
            </w:r>
          </w:p>
        </w:tc>
        <w:tc>
          <w:tcPr>
            <w:tcW w:w="1863" w:type="dxa"/>
          </w:tcPr>
          <w:p>
            <w:pPr/>
            <w:r>
              <w:t xml:space="preserve">Mid-term (original vs revised plan); report reflection</w:t>
            </w:r>
          </w:p>
        </w:tc>
      </w:tr>
      <w:tr>
        <w:tc>
          <w:tcPr>
            <w:tcW w:w="1430" w:type="dxa"/>
          </w:tcPr>
          <w:p>
            <w:pPr/>
            <w:r>
              <w:t xml:space="preserve">Technical risk (20%)</w:t>
            </w:r>
          </w:p>
        </w:tc>
        <w:tc>
          <w:tcPr>
            <w:tcW w:w="1146" w:type="dxa"/>
          </w:tcPr>
          <w:p>
            <w:pPr/>
            <w:r>
              <w:t xml:space="preserve">2.125</w:t>
            </w:r>
          </w:p>
        </w:tc>
        <w:tc>
          <w:tcPr>
            <w:tcW w:w="1943" w:type="dxa"/>
          </w:tcPr>
          <w:p>
            <w:pPr/>
            <w:r>
              <w:t xml:space="preserve">"Risks related to data analysis and hardware are not compelling"</w:t>
            </w:r>
          </w:p>
        </w:tc>
        <w:tc>
          <w:tcPr>
            <w:tcW w:w="2978" w:type="dxa"/>
          </w:tcPr>
          <w:p>
            <w:pPr/>
            <w:r>
              <w:t xml:space="preserve">A technical risk register, separate from health and safety, each risk backed by a calculation or a quick test</w:t>
            </w:r>
          </w:p>
        </w:tc>
        <w:tc>
          <w:tcPr>
            <w:tcW w:w="1863" w:type="dxa"/>
          </w:tcPr>
          <w:p>
            <w:pPr/>
            <w:r>
              <w:t xml:space="preserve">Mid-term; report methodology and reflection</w:t>
            </w:r>
          </w:p>
        </w:tc>
      </w:tr>
      <w:tr>
        <w:tc>
          <w:tcPr>
            <w:tcW w:w="1430" w:type="dxa"/>
          </w:tcPr>
          <w:p>
            <w:pPr/>
            <w:r>
              <w:t xml:space="preserve">Progress (15%)</w:t>
            </w:r>
          </w:p>
        </w:tc>
        <w:tc>
          <w:tcPr>
            <w:tcW w:w="1146" w:type="dxa"/>
          </w:tcPr>
          <w:p>
            <w:pPr/>
            <w:r>
              <w:t xml:space="preserve">0.5 of 1</w:t>
            </w:r>
          </w:p>
        </w:tc>
        <w:tc>
          <w:tcPr>
            <w:tcW w:w="1943" w:type="dxa"/>
          </w:tcPr>
          <w:p>
            <w:pPr/>
            <w:r>
              <w:t xml:space="preserve">Engaged, minimum required</w:t>
            </w:r>
          </w:p>
        </w:tc>
        <w:tc>
          <w:tcPr>
            <w:tcW w:w="2978" w:type="dxa"/>
          </w:tcPr>
          <w:p>
            <w:pPr/>
            <w:r>
              <w:t xml:space="preserve">Visible work every week: literature review, parts ordered, simulation running, components tested</w:t>
            </w:r>
          </w:p>
        </w:tc>
        <w:tc>
          <w:tcPr>
            <w:tcW w:w="1863" w:type="dxa"/>
          </w:tcPr>
          <w:p>
            <w:pPr/>
            <w:r>
              <w:t xml:space="preserve">Mid-term is marked on progress against the original objectives</w:t>
            </w:r>
          </w:p>
        </w:tc>
      </w:tr>
    </w:tbl>
    <w:p>
      <w:pPr/>
      <w:r>
        <w:rPr>
          <w:b/>
        </w:rPr>
        <w:t xml:space="preserve">The technical risks the panel wanted to see</w:t>
      </w:r>
      <w:r>
        <w:t xml:space="preserve"> (the register will hold about ten, each with likelihood, impact, a test that shows the risk is real or not, and a fallback):</w:t>
      </w:r>
    </w:p>
    <w:p>
      <w:pPr>
        <w:pStyle w:val="ListParagraph"/>
        <w:numPr>
          <w:ilvl w:val="0"/>
          <w:numId w:val="2"/>
        </w:numPr>
      </w:pPr>
      <w:r>
        <w:t xml:space="preserve">INA226 accuracy at low current, where the shunt voltage is only a few millivolts</w:t>
      </w:r>
    </w:p>
    <w:p>
      <w:pPr>
        <w:pStyle w:val="ListParagraph"/>
        <w:numPr>
          <w:ilvl w:val="0"/>
          <w:numId w:val="2"/>
        </w:numPr>
      </w:pPr>
      <w:r>
        <w:t xml:space="preserve">Electronic load oscillating, or the MOSFET overheating in its linear region</w:t>
      </w:r>
    </w:p>
    <w:p>
      <w:pPr>
        <w:pStyle w:val="ListParagraph"/>
        <w:numPr>
          <w:ilvl w:val="0"/>
          <w:numId w:val="2"/>
        </w:numPr>
      </w:pPr>
      <w:r>
        <w:t xml:space="preserve">PCB faults in a first Proteus design, and fine-pitch soldering</w:t>
      </w:r>
    </w:p>
    <w:p>
      <w:pPr>
        <w:pStyle w:val="ListParagraph"/>
        <w:numPr>
          <w:ilvl w:val="0"/>
          <w:numId w:val="2"/>
        </w:numPr>
      </w:pPr>
      <w:r>
        <w:t xml:space="preserve">DP planner too slow or too large for the ESP32</w:t>
      </w:r>
    </w:p>
    <w:p>
      <w:pPr>
        <w:pStyle w:val="ListParagraph"/>
        <w:numPr>
          <w:ilvl w:val="0"/>
          <w:numId w:val="2"/>
        </w:numPr>
      </w:pPr>
      <w:r>
        <w:t xml:space="preserve">Forecaster not beating the simple baselines</w:t>
      </w:r>
    </w:p>
    <w:p>
      <w:pPr>
        <w:pStyle w:val="ListParagraph"/>
        <w:numPr>
          <w:ilvl w:val="0"/>
          <w:numId w:val="2"/>
        </w:numPr>
      </w:pPr>
      <w:r>
        <w:t xml:space="preserve">Gaps or changes in the Octopus and Elexon data</w:t>
      </w:r>
    </w:p>
    <w:p>
      <w:pPr>
        <w:pStyle w:val="ListParagraph"/>
        <w:numPr>
          <w:ilvl w:val="0"/>
          <w:numId w:val="2"/>
        </w:numPr>
      </w:pPr>
      <w:r>
        <w:t xml:space="preserve">Simulation and rig results disagreeing by more than 5%</w:t>
      </w:r>
    </w:p>
    <w:p>
      <w:pPr>
        <w:pStyle w:val="ListParagraph"/>
        <w:numPr>
          <w:ilvl w:val="0"/>
          <w:numId w:val="2"/>
        </w:numPr>
      </w:pPr>
      <w:r>
        <w:t xml:space="preserve">MQTT or Wi-Fi drop-outs corrupting the log</w:t>
      </w:r>
    </w:p>
    <w:p>
      <w:pPr>
        <w:pStyle w:val="ListParagraph"/>
        <w:numPr>
          <w:ilvl w:val="0"/>
          <w:numId w:val="2"/>
        </w:numPr>
      </w:pPr>
      <w:r>
        <w:t xml:space="preserve">Unfamiliar tools (Proteus, FreeRTOS, LightGBM) taking longer to learn than planned</w:t>
      </w:r>
    </w:p>
    <w:p>
      <w:pPr>
        <w:pStyle w:val="Heading2"/>
      </w:pPr>
      <w:r>
        <w:t xml:space="preserve">Technical risk register v1</w:t>
      </w:r>
    </w:p>
    <w:p>
      <w:pPr/>
      <w:r>
        <w:t xml:space="preserve">The top band asks for "a professional level of technical risk ... with analysis or research to demonstrate its plausibility", so every risk below carries a reason it is real and a dated check that settles it. Scored on the Appendix A scale (likelihood 1–6 × severity 1–4); health and safety risks stay in the separate university form.</w:t>
      </w:r>
    </w:p>
    <w:tbl>
      <w:tblPr>
        <w:tblStyle w:val="TableGrid"/>
        <w:tblW w:w="0" w:type="auto"/>
        <w:tblLayout w:type="fixed"/>
        <w:tblLook w:val="04A0" w:firstRow="1" w:lastRow="0" w:firstColumn="0" w:lastColumn="0" w:noHBand="0" w:noVBand="1"/>
      </w:tblPr>
      <w:tblGrid>
        <w:gridCol w:w="720"/>
        <w:gridCol w:w="1337"/>
        <w:gridCol w:w="1715"/>
        <w:gridCol w:w="1337"/>
        <w:gridCol w:w="1121"/>
        <w:gridCol w:w="2127"/>
        <w:gridCol w:w="1002"/>
      </w:tblGrid>
      <w:tr>
        <w:trPr>
          <w:tblHeader/>
        </w:trPr>
        <w:tc>
          <w:tcPr>
            <w:tcW w:w="720" w:type="dxa"/>
            <w:shd w:val="clear" w:color="auto" w:fill="F2F2F2"/>
          </w:tcPr>
          <w:p>
            <w:pPr/>
            <w:r>
              <w:t xml:space="preserve">#</w:t>
            </w:r>
          </w:p>
        </w:tc>
        <w:tc>
          <w:tcPr>
            <w:tcW w:w="1337" w:type="dxa"/>
            <w:shd w:val="clear" w:color="auto" w:fill="F2F2F2"/>
          </w:tcPr>
          <w:p>
            <w:pPr/>
            <w:r>
              <w:t xml:space="preserve">Risk</w:t>
            </w:r>
          </w:p>
        </w:tc>
        <w:tc>
          <w:tcPr>
            <w:tcW w:w="1715" w:type="dxa"/>
            <w:shd w:val="clear" w:color="auto" w:fill="F2F2F2"/>
          </w:tcPr>
          <w:p>
            <w:pPr/>
            <w:r>
              <w:t xml:space="preserve">Why it is real</w:t>
            </w:r>
          </w:p>
        </w:tc>
        <w:tc>
          <w:tcPr>
            <w:tcW w:w="1337" w:type="dxa"/>
            <w:shd w:val="clear" w:color="auto" w:fill="F2F2F2"/>
          </w:tcPr>
          <w:p>
            <w:pPr/>
            <w:r>
              <w:t xml:space="preserve">Check (week)</w:t>
            </w:r>
          </w:p>
        </w:tc>
        <w:tc>
          <w:tcPr>
            <w:tcW w:w="1121" w:type="dxa"/>
            <w:shd w:val="clear" w:color="auto" w:fill="F2F2F2"/>
          </w:tcPr>
          <w:p>
            <w:pPr/>
            <w:r>
              <w:t xml:space="preserve">Before</w:t>
            </w:r>
          </w:p>
        </w:tc>
        <w:tc>
          <w:tcPr>
            <w:tcW w:w="2127" w:type="dxa"/>
            <w:shd w:val="clear" w:color="auto" w:fill="F2F2F2"/>
          </w:tcPr>
          <w:p>
            <w:pPr/>
            <w:r>
              <w:t xml:space="preserve">Mitigation and fallback</w:t>
            </w:r>
          </w:p>
        </w:tc>
        <w:tc>
          <w:tcPr>
            <w:tcW w:w="1002" w:type="dxa"/>
            <w:shd w:val="clear" w:color="auto" w:fill="F2F2F2"/>
          </w:tcPr>
          <w:p>
            <w:pPr/>
            <w:r>
              <w:t xml:space="preserve">After</w:t>
            </w:r>
          </w:p>
        </w:tc>
      </w:tr>
      <w:tr>
        <w:tc>
          <w:tcPr>
            <w:tcW w:w="720" w:type="dxa"/>
          </w:tcPr>
          <w:p>
            <w:pPr/>
            <w:r>
              <w:t xml:space="preserve">1</w:t>
            </w:r>
          </w:p>
        </w:tc>
        <w:tc>
          <w:tcPr>
            <w:tcW w:w="1337" w:type="dxa"/>
          </w:tcPr>
          <w:p>
            <w:pPr/>
            <w:r>
              <w:t xml:space="preserve">DP planner too slow or too large for the ESP32</w:t>
            </w:r>
          </w:p>
        </w:tc>
        <w:tc>
          <w:tcPr>
            <w:tcW w:w="1715" w:type="dxa"/>
          </w:tcPr>
          <w:p>
            <w:pPr/>
            <w:r>
              <w:t xml:space="preserve">Tracking each appliance's start time and the battery level in one state grows to millions of states</w:t>
            </w:r>
          </w:p>
        </w:tc>
        <w:tc>
          <w:tcPr>
            <w:tcW w:w="1337" w:type="dxa"/>
          </w:tcPr>
          <w:p>
            <w:pPr/>
            <w:r>
              <w:t xml:space="preserve">Count states in Python (8); time one re-plan on the ESP32 (15)</w:t>
            </w:r>
          </w:p>
        </w:tc>
        <w:tc>
          <w:tcPr>
            <w:tcW w:w="1121" w:type="dxa"/>
          </w:tcPr>
          <w:p>
            <w:pPr/>
            <w:r>
              <w:t xml:space="preserve">4×3 = 12</w:t>
            </w:r>
          </w:p>
        </w:tc>
        <w:tc>
          <w:tcPr>
            <w:tcW w:w="2127" w:type="dxa"/>
          </w:tcPr>
          <w:p>
            <w:pPr/>
            <w:r>
              <w:t xml:space="preserve">Plan appliances first, battery second; limit each appliance to its allowed hours; coarser battery levels</w:t>
            </w:r>
          </w:p>
        </w:tc>
        <w:tc>
          <w:tcPr>
            <w:tcW w:w="1002" w:type="dxa"/>
          </w:tcPr>
          <w:p>
            <w:pPr/>
            <w:r>
              <w:t xml:space="preserve">2×2 = 4</w:t>
            </w:r>
          </w:p>
        </w:tc>
      </w:tr>
      <w:tr>
        <w:tc>
          <w:tcPr>
            <w:tcW w:w="720" w:type="dxa"/>
          </w:tcPr>
          <w:p>
            <w:pPr/>
            <w:r>
              <w:t xml:space="preserve">2</w:t>
            </w:r>
          </w:p>
        </w:tc>
        <w:tc>
          <w:tcPr>
            <w:tcW w:w="1337" w:type="dxa"/>
          </w:tcPr>
          <w:p>
            <w:pPr/>
            <w:r>
              <w:t xml:space="preserve">Electronic load oscillates</w:t>
            </w:r>
          </w:p>
        </w:tc>
        <w:tc>
          <w:tcPr>
            <w:tcW w:w="1715" w:type="dxa"/>
          </w:tcPr>
          <w:p>
            <w:pPr/>
            <w:r>
              <w:t xml:space="preserve">Op-amp driving the MOSFET's gate capacitance (about 1.7 nF on the IRLZ44N datasheet) can lose phase margin</w:t>
            </w:r>
          </w:p>
        </w:tc>
        <w:tc>
          <w:tcPr>
            <w:tcW w:w="1337" w:type="dxa"/>
          </w:tcPr>
          <w:p>
            <w:pPr/>
            <w:r>
              <w:t xml:space="preserve">Breadboard step response on the scope (7)</w:t>
            </w:r>
          </w:p>
        </w:tc>
        <w:tc>
          <w:tcPr>
            <w:tcW w:w="1121" w:type="dxa"/>
          </w:tcPr>
          <w:p>
            <w:pPr/>
            <w:r>
              <w:t xml:space="preserve">4×3 = 12</w:t>
            </w:r>
          </w:p>
        </w:tc>
        <w:tc>
          <w:tcPr>
            <w:tcW w:w="2127" w:type="dxa"/>
          </w:tcPr>
          <w:p>
            <w:pPr/>
            <w:r>
              <w:t xml:space="preserve">Gate resistor and compensation capacitor, tuned on the breadboard; fallback: 4-resistor switched bank</w:t>
            </w:r>
          </w:p>
        </w:tc>
        <w:tc>
          <w:tcPr>
            <w:tcW w:w="1002" w:type="dxa"/>
          </w:tcPr>
          <w:p>
            <w:pPr/>
            <w:r>
              <w:t xml:space="preserve">2×2 = 4</w:t>
            </w:r>
          </w:p>
        </w:tc>
      </w:tr>
      <w:tr>
        <w:tc>
          <w:tcPr>
            <w:tcW w:w="720" w:type="dxa"/>
          </w:tcPr>
          <w:p>
            <w:pPr/>
            <w:r>
              <w:t xml:space="preserve">3</w:t>
            </w:r>
          </w:p>
        </w:tc>
        <w:tc>
          <w:tcPr>
            <w:tcW w:w="1337" w:type="dxa"/>
          </w:tcPr>
          <w:p>
            <w:pPr/>
            <w:r>
              <w:t xml:space="preserve">Lead-acid battery does not behave like a home battery at 30 s per slot</w:t>
            </w:r>
          </w:p>
        </w:tc>
        <w:tc>
          <w:tcPr>
            <w:tcW w:w="1715" w:type="dxa"/>
          </w:tcPr>
          <w:p>
            <w:pPr/>
            <w:r>
              <w:t xml:space="preserve">Chemistry does not scale in time; charge acceptance and voltage lag differ</w:t>
            </w:r>
          </w:p>
        </w:tc>
        <w:tc>
          <w:tcPr>
            <w:tcW w:w="1337" w:type="dxa"/>
          </w:tcPr>
          <w:p>
            <w:pPr/>
            <w:r>
              <w:t xml:space="preserve">Measure round-trip efficiency and voltage response (8)</w:t>
            </w:r>
          </w:p>
        </w:tc>
        <w:tc>
          <w:tcPr>
            <w:tcW w:w="1121" w:type="dxa"/>
          </w:tcPr>
          <w:p>
            <w:pPr/>
            <w:r>
              <w:t xml:space="preserve">5×2 = 10</w:t>
            </w:r>
          </w:p>
        </w:tc>
        <w:tc>
          <w:tcPr>
            <w:tcW w:w="2127" w:type="dxa"/>
          </w:tcPr>
          <w:p>
            <w:pPr/>
            <w:r>
              <w:t xml:space="preserve">Virtual state of charge from measured energy; current held below C/10; stated as a limitation</w:t>
            </w:r>
          </w:p>
        </w:tc>
        <w:tc>
          <w:tcPr>
            <w:tcW w:w="1002" w:type="dxa"/>
          </w:tcPr>
          <w:p>
            <w:pPr/>
            <w:r>
              <w:t xml:space="preserve">2×2 = 4</w:t>
            </w:r>
          </w:p>
        </w:tc>
      </w:tr>
      <w:tr>
        <w:tc>
          <w:tcPr>
            <w:tcW w:w="720" w:type="dxa"/>
          </w:tcPr>
          <w:p>
            <w:pPr/>
            <w:r>
              <w:t xml:space="preserve">4</w:t>
            </w:r>
          </w:p>
        </w:tc>
        <w:tc>
          <w:tcPr>
            <w:tcW w:w="1337" w:type="dxa"/>
          </w:tcPr>
          <w:p>
            <w:pPr/>
            <w:r>
              <w:t xml:space="preserve">MOSFET outside its safe operating area</w:t>
            </w:r>
          </w:p>
        </w:tc>
        <w:tc>
          <w:tcPr>
            <w:tcW w:w="1715" w:type="dxa"/>
          </w:tcPr>
          <w:p>
            <w:pPr/>
            <w:r>
              <w:t xml:space="preserve">Linear mode at up to 13.8 V and 0.8 A dissipates 11 W continuously</w:t>
            </w:r>
          </w:p>
        </w:tc>
        <w:tc>
          <w:tcPr>
            <w:tcW w:w="1337" w:type="dxa"/>
          </w:tcPr>
          <w:p>
            <w:pPr/>
            <w:r>
              <w:t xml:space="preserve">Check the datasheet SOA curve, derated to 60 °C case (6)</w:t>
            </w:r>
          </w:p>
        </w:tc>
        <w:tc>
          <w:tcPr>
            <w:tcW w:w="1121" w:type="dxa"/>
          </w:tcPr>
          <w:p>
            <w:pPr/>
            <w:r>
              <w:t xml:space="preserve">3×3 = 9</w:t>
            </w:r>
          </w:p>
        </w:tc>
        <w:tc>
          <w:tcPr>
            <w:tcW w:w="2127" w:type="dxa"/>
          </w:tcPr>
          <w:p>
            <w:pPr/>
            <w:r>
              <w:t xml:space="preserve">0.8 A firmware cap; 70 °C hardware cut-out; heatsink of 3 °C/W or better</w:t>
            </w:r>
          </w:p>
        </w:tc>
        <w:tc>
          <w:tcPr>
            <w:tcW w:w="1002" w:type="dxa"/>
          </w:tcPr>
          <w:p>
            <w:pPr/>
            <w:r>
              <w:t xml:space="preserve">1×3 = 3</w:t>
            </w:r>
          </w:p>
        </w:tc>
      </w:tr>
      <w:tr>
        <w:tc>
          <w:tcPr>
            <w:tcW w:w="720" w:type="dxa"/>
          </w:tcPr>
          <w:p>
            <w:pPr/>
            <w:r>
              <w:t xml:space="preserve">5</w:t>
            </w:r>
          </w:p>
        </w:tc>
        <w:tc>
          <w:tcPr>
            <w:tcW w:w="1337" w:type="dxa"/>
          </w:tcPr>
          <w:p>
            <w:pPr/>
            <w:r>
              <w:t xml:space="preserve">INA226 inaccurate at low current</w:t>
            </w:r>
          </w:p>
        </w:tc>
        <w:tc>
          <w:tcPr>
            <w:tcW w:w="1715" w:type="dxa"/>
          </w:tcPr>
          <w:p>
            <w:pPr/>
            <w:r>
              <w:t xml:space="preserve">At 50 mA the 20 mΩ shunt gives 1 mV; the INA226's offset (up to about 10 µV) is then 1%, the whole error budget</w:t>
            </w:r>
          </w:p>
        </w:tc>
        <w:tc>
          <w:tcPr>
            <w:tcW w:w="1337" w:type="dxa"/>
          </w:tcPr>
          <w:p>
            <w:pPr/>
            <w:r>
              <w:t xml:space="preserve">T2 sweep from 50 mA (6)</w:t>
            </w:r>
          </w:p>
        </w:tc>
        <w:tc>
          <w:tcPr>
            <w:tcW w:w="1121" w:type="dxa"/>
          </w:tcPr>
          <w:p>
            <w:pPr/>
            <w:r>
              <w:t xml:space="preserve">3×3 = 9</w:t>
            </w:r>
          </w:p>
        </w:tc>
        <w:tc>
          <w:tcPr>
            <w:tcW w:w="2127" w:type="dxa"/>
          </w:tcPr>
          <w:p>
            <w:pPr/>
            <w:r>
              <w:t xml:space="preserve">0.5% shunts; Kelvin connections in the layout; per-channel offset and gain calibration in firmware</w:t>
            </w:r>
          </w:p>
        </w:tc>
        <w:tc>
          <w:tcPr>
            <w:tcW w:w="1002" w:type="dxa"/>
          </w:tcPr>
          <w:p>
            <w:pPr/>
            <w:r>
              <w:t xml:space="preserve">1×3 = 3</w:t>
            </w:r>
          </w:p>
        </w:tc>
      </w:tr>
      <w:tr>
        <w:tc>
          <w:tcPr>
            <w:tcW w:w="720" w:type="dxa"/>
          </w:tcPr>
          <w:p>
            <w:pPr/>
            <w:r>
              <w:t xml:space="preserve">6</w:t>
            </w:r>
          </w:p>
        </w:tc>
        <w:tc>
          <w:tcPr>
            <w:tcW w:w="1337" w:type="dxa"/>
          </w:tcPr>
          <w:p>
            <w:pPr/>
            <w:r>
              <w:t xml:space="preserve">Simulation and rig disagree by more than 5%</w:t>
            </w:r>
          </w:p>
        </w:tc>
        <w:tc>
          <w:tcPr>
            <w:tcW w:w="1715" w:type="dxa"/>
          </w:tcPr>
          <w:p>
            <w:pPr/>
            <w:r>
              <w:t xml:space="preserve">Resistor tolerance, battery voltage and timing all differ from the model</w:t>
            </w:r>
          </w:p>
        </w:tc>
        <w:tc>
          <w:tcPr>
            <w:tcW w:w="1337" w:type="dxa"/>
          </w:tcPr>
          <w:p>
            <w:pPr/>
            <w:r>
              <w:t xml:space="preserve">Compare per-slot energy on 3 replayed days (19)</w:t>
            </w:r>
          </w:p>
        </w:tc>
        <w:tc>
          <w:tcPr>
            <w:tcW w:w="1121" w:type="dxa"/>
          </w:tcPr>
          <w:p>
            <w:pPr/>
            <w:r>
              <w:t xml:space="preserve">3×3 = 9</w:t>
            </w:r>
          </w:p>
        </w:tc>
        <w:tc>
          <w:tcPr>
            <w:tcW w:w="2127" w:type="dxa"/>
          </w:tcPr>
          <w:p>
            <w:pPr/>
            <w:r>
              <w:t xml:space="preserve">Fit the model's resistances and efficiency to measurements before the evaluation</w:t>
            </w:r>
          </w:p>
        </w:tc>
        <w:tc>
          <w:tcPr>
            <w:tcW w:w="1002" w:type="dxa"/>
          </w:tcPr>
          <w:p>
            <w:pPr/>
            <w:r>
              <w:t xml:space="preserve">2×2 = 4</w:t>
            </w:r>
          </w:p>
        </w:tc>
      </w:tr>
      <w:tr>
        <w:tc>
          <w:tcPr>
            <w:tcW w:w="720" w:type="dxa"/>
          </w:tcPr>
          <w:p>
            <w:pPr/>
            <w:r>
              <w:t xml:space="preserve">7</w:t>
            </w:r>
          </w:p>
        </w:tc>
        <w:tc>
          <w:tcPr>
            <w:tcW w:w="1337" w:type="dxa"/>
          </w:tcPr>
          <w:p>
            <w:pPr/>
            <w:r>
              <w:t xml:space="preserve">Forecaster misses the 15% target</w:t>
            </w:r>
          </w:p>
        </w:tc>
        <w:tc>
          <w:tcPr>
            <w:tcW w:w="1715" w:type="dxa"/>
          </w:tcPr>
          <w:p>
            <w:pPr/>
            <w:r>
              <w:t xml:space="preserve">Agile prices follow the wholesale day-ahead price closely, so simple baselines are strong</w:t>
            </w:r>
          </w:p>
        </w:tc>
        <w:tc>
          <w:tcPr>
            <w:tcW w:w="1337" w:type="dxa"/>
          </w:tcPr>
          <w:p>
            <w:pPr/>
            <w:r>
              <w:t xml:space="preserve">First baseline results (9)</w:t>
            </w:r>
          </w:p>
        </w:tc>
        <w:tc>
          <w:tcPr>
            <w:tcW w:w="1121" w:type="dxa"/>
          </w:tcPr>
          <w:p>
            <w:pPr/>
            <w:r>
              <w:t xml:space="preserve">4×2 = 8</w:t>
            </w:r>
          </w:p>
        </w:tc>
        <w:tc>
          <w:tcPr>
            <w:tcW w:w="2127" w:type="dxa"/>
          </w:tcPr>
          <w:p>
            <w:pPr/>
            <w:r>
              <w:t xml:space="preserve">Add Elexon demand and wind features; scenario S3 measures the forecast's value either way; agree any change of target with Dr Shah</w:t>
            </w:r>
          </w:p>
        </w:tc>
        <w:tc>
          <w:tcPr>
            <w:tcW w:w="1002" w:type="dxa"/>
          </w:tcPr>
          <w:p>
            <w:pPr/>
            <w:r>
              <w:t xml:space="preserve">3×1 = 3</w:t>
            </w:r>
          </w:p>
        </w:tc>
      </w:tr>
      <w:tr>
        <w:tc>
          <w:tcPr>
            <w:tcW w:w="720" w:type="dxa"/>
          </w:tcPr>
          <w:p>
            <w:pPr/>
            <w:r>
              <w:t xml:space="preserve">8</w:t>
            </w:r>
          </w:p>
        </w:tc>
        <w:tc>
          <w:tcPr>
            <w:tcW w:w="1337" w:type="dxa"/>
          </w:tcPr>
          <w:p>
            <w:pPr/>
            <w:r>
              <w:t xml:space="preserve">PCB faults in a first Proteus design</w:t>
            </w:r>
          </w:p>
        </w:tc>
        <w:tc>
          <w:tcPr>
            <w:tcW w:w="1715" w:type="dxa"/>
          </w:tcPr>
          <w:p>
            <w:pPr/>
            <w:r>
              <w:t xml:space="preserve">No previous PCB layout experience</w:t>
            </w:r>
          </w:p>
        </w:tc>
        <w:tc>
          <w:tcPr>
            <w:tcW w:w="1337" w:type="dxa"/>
          </w:tcPr>
          <w:p>
            <w:pPr/>
            <w:r>
              <w:t xml:space="preserve">Design-rule check and technician review before each Tuesday submission (3)</w:t>
            </w:r>
          </w:p>
        </w:tc>
        <w:tc>
          <w:tcPr>
            <w:tcW w:w="1121" w:type="dxa"/>
          </w:tcPr>
          <w:p>
            <w:pPr/>
            <w:r>
              <w:t xml:space="preserve">4×2 = 8</w:t>
            </w:r>
          </w:p>
        </w:tc>
        <w:tc>
          <w:tcPr>
            <w:tcW w:w="2127" w:type="dxa"/>
          </w:tcPr>
          <w:p>
            <w:pPr/>
            <w:r>
              <w:t xml:space="preserve">Breadboard every circuit first; test points on every rail; weekly in-house turnaround makes a respin cost one week</w:t>
            </w:r>
          </w:p>
        </w:tc>
        <w:tc>
          <w:tcPr>
            <w:tcW w:w="1002" w:type="dxa"/>
          </w:tcPr>
          <w:p>
            <w:pPr/>
            <w:r>
              <w:t xml:space="preserve">2×1 = 2</w:t>
            </w:r>
          </w:p>
        </w:tc>
      </w:tr>
      <w:tr>
        <w:tc>
          <w:tcPr>
            <w:tcW w:w="720" w:type="dxa"/>
          </w:tcPr>
          <w:p>
            <w:pPr/>
            <w:r>
              <w:t xml:space="preserve">9</w:t>
            </w:r>
          </w:p>
        </w:tc>
        <w:tc>
          <w:tcPr>
            <w:tcW w:w="1337" w:type="dxa"/>
          </w:tcPr>
          <w:p>
            <w:pPr/>
            <w:r>
              <w:t xml:space="preserve">Unfamiliar tools take longer than planned</w:t>
            </w:r>
          </w:p>
        </w:tc>
        <w:tc>
          <w:tcPr>
            <w:tcW w:w="1715" w:type="dxa"/>
          </w:tcPr>
          <w:p>
            <w:pPr/>
            <w:r>
              <w:t xml:space="preserve">Proteus, FreeRTOS and LightGBM are all new</w:t>
            </w:r>
          </w:p>
        </w:tc>
        <w:tc>
          <w:tcPr>
            <w:tcW w:w="1337" w:type="dxa"/>
          </w:tcPr>
          <w:p>
            <w:pPr/>
            <w:r>
              <w:t xml:space="preserve">A one-day practice task for each, logged (2–3)</w:t>
            </w:r>
          </w:p>
        </w:tc>
        <w:tc>
          <w:tcPr>
            <w:tcW w:w="1121" w:type="dxa"/>
          </w:tcPr>
          <w:p>
            <w:pPr/>
            <w:r>
              <w:t xml:space="preserve">4×2 = 8</w:t>
            </w:r>
          </w:p>
        </w:tc>
        <w:tc>
          <w:tcPr>
            <w:tcW w:w="2127" w:type="dxa"/>
          </w:tcPr>
          <w:p>
            <w:pPr/>
            <w:r>
              <w:t xml:space="preserve">Practice tasks early; university Proteus licence and lab support</w:t>
            </w:r>
          </w:p>
        </w:tc>
        <w:tc>
          <w:tcPr>
            <w:tcW w:w="1002" w:type="dxa"/>
          </w:tcPr>
          <w:p>
            <w:pPr/>
            <w:r>
              <w:t xml:space="preserve">2×1 = 2</w:t>
            </w:r>
          </w:p>
        </w:tc>
      </w:tr>
      <w:tr>
        <w:tc>
          <w:tcPr>
            <w:tcW w:w="720" w:type="dxa"/>
          </w:tcPr>
          <w:p>
            <w:pPr/>
            <w:r>
              <w:t xml:space="preserve">10</w:t>
            </w:r>
          </w:p>
        </w:tc>
        <w:tc>
          <w:tcPr>
            <w:tcW w:w="1337" w:type="dxa"/>
          </w:tcPr>
          <w:p>
            <w:pPr/>
            <w:r>
              <w:t xml:space="preserve">Fine-pitch soldering fails</w:t>
            </w:r>
          </w:p>
        </w:tc>
        <w:tc>
          <w:tcPr>
            <w:tcW w:w="1715" w:type="dxa"/>
          </w:tcPr>
          <w:p>
            <w:pPr/>
            <w:r>
              <w:t xml:space="preserve">The INA226 is a 0.5 mm pitch VSSOP-10 package</w:t>
            </w:r>
          </w:p>
        </w:tc>
        <w:tc>
          <w:tcPr>
            <w:tcW w:w="1337" w:type="dxa"/>
          </w:tcPr>
          <w:p>
            <w:pPr/>
            <w:r>
              <w:t xml:space="preserve">Practise on a spare board (4)</w:t>
            </w:r>
          </w:p>
        </w:tc>
        <w:tc>
          <w:tcPr>
            <w:tcW w:w="1121" w:type="dxa"/>
          </w:tcPr>
          <w:p>
            <w:pPr/>
            <w:r>
              <w:t xml:space="preserve">3×2 = 6</w:t>
            </w:r>
          </w:p>
        </w:tc>
        <w:tc>
          <w:tcPr>
            <w:tcW w:w="2127" w:type="dxa"/>
          </w:tcPr>
          <w:p>
            <w:pPr/>
            <w:r>
              <w:t xml:space="preserve">Aston's SMD station; buy two spare chips</w:t>
            </w:r>
          </w:p>
        </w:tc>
        <w:tc>
          <w:tcPr>
            <w:tcW w:w="1002" w:type="dxa"/>
          </w:tcPr>
          <w:p>
            <w:pPr/>
            <w:r>
              <w:t xml:space="preserve">1×2 = 2</w:t>
            </w:r>
          </w:p>
        </w:tc>
      </w:tr>
      <w:tr>
        <w:tc>
          <w:tcPr>
            <w:tcW w:w="720" w:type="dxa"/>
          </w:tcPr>
          <w:p>
            <w:pPr/>
            <w:r>
              <w:t xml:space="preserve">11</w:t>
            </w:r>
          </w:p>
        </w:tc>
        <w:tc>
          <w:tcPr>
            <w:tcW w:w="1337" w:type="dxa"/>
          </w:tcPr>
          <w:p>
            <w:pPr/>
            <w:r>
              <w:t xml:space="preserve">Data gaps or API changes</w:t>
            </w:r>
          </w:p>
        </w:tc>
        <w:tc>
          <w:tcPr>
            <w:tcW w:w="1715" w:type="dxa"/>
          </w:tcPr>
          <w:p>
            <w:pPr/>
            <w:r>
              <w:t xml:space="preserve">Public APIs change and have outages</w:t>
            </w:r>
          </w:p>
        </w:tc>
        <w:tc>
          <w:tcPr>
            <w:tcW w:w="1337" w:type="dxa"/>
          </w:tcPr>
          <w:p>
            <w:pPr/>
            <w:r>
              <w:t xml:space="preserve">Download and store a full year of raw data in week 2 (2)</w:t>
            </w:r>
          </w:p>
        </w:tc>
        <w:tc>
          <w:tcPr>
            <w:tcW w:w="1121" w:type="dxa"/>
          </w:tcPr>
          <w:p>
            <w:pPr/>
            <w:r>
              <w:t xml:space="preserve">3×2 = 6</w:t>
            </w:r>
          </w:p>
        </w:tc>
        <w:tc>
          <w:tcPr>
            <w:tcW w:w="2127" w:type="dxa"/>
          </w:tcPr>
          <w:p>
            <w:pPr/>
            <w:r>
              <w:t xml:space="preserve">Local copies under version control; the pipeline reads from the local copy</w:t>
            </w:r>
          </w:p>
        </w:tc>
        <w:tc>
          <w:tcPr>
            <w:tcW w:w="1002" w:type="dxa"/>
          </w:tcPr>
          <w:p>
            <w:pPr/>
            <w:r>
              <w:t xml:space="preserve">1×2 = 2</w:t>
            </w:r>
          </w:p>
        </w:tc>
      </w:tr>
      <w:tr>
        <w:tc>
          <w:tcPr>
            <w:tcW w:w="720" w:type="dxa"/>
          </w:tcPr>
          <w:p>
            <w:pPr/>
            <w:r>
              <w:t xml:space="preserve">12</w:t>
            </w:r>
          </w:p>
        </w:tc>
        <w:tc>
          <w:tcPr>
            <w:tcW w:w="1337" w:type="dxa"/>
          </w:tcPr>
          <w:p>
            <w:pPr/>
            <w:r>
              <w:t xml:space="preserve">Wi-Fi drop-outs corrupt the log</w:t>
            </w:r>
          </w:p>
        </w:tc>
        <w:tc>
          <w:tcPr>
            <w:tcW w:w="1715" w:type="dxa"/>
          </w:tcPr>
          <w:p>
            <w:pPr/>
            <w:r>
              <w:t xml:space="preserve">Lab Wi-Fi is shared and can drop</w:t>
            </w:r>
          </w:p>
        </w:tc>
        <w:tc>
          <w:tcPr>
            <w:tcW w:w="1337" w:type="dxa"/>
          </w:tcPr>
          <w:p>
            <w:pPr/>
            <w:r>
              <w:t xml:space="preserve">Pull the Wi-Fi mid-run (T7, 18)</w:t>
            </w:r>
          </w:p>
        </w:tc>
        <w:tc>
          <w:tcPr>
            <w:tcW w:w="1121" w:type="dxa"/>
          </w:tcPr>
          <w:p>
            <w:pPr/>
            <w:r>
              <w:t xml:space="preserve">3×1 = 3</w:t>
            </w:r>
          </w:p>
        </w:tc>
        <w:tc>
          <w:tcPr>
            <w:tcW w:w="2127" w:type="dxa"/>
          </w:tcPr>
          <w:p>
            <w:pPr/>
            <w:r>
              <w:t xml:space="preserve">Readings buffered on the ESP32 with sequence numbers; the logger flags gaps</w:t>
            </w:r>
          </w:p>
        </w:tc>
        <w:tc>
          <w:tcPr>
            <w:tcW w:w="1002" w:type="dxa"/>
          </w:tcPr>
          <w:p>
            <w:pPr/>
            <w:r>
              <w:t xml:space="preserve">1×1 = 1</w:t>
            </w:r>
          </w:p>
        </w:tc>
      </w:tr>
    </w:tbl>
    <w:p>
      <w:pPr>
        <w:pStyle w:val="Heading2"/>
      </w:pPr>
      <w:r>
        <w:t xml:space="preserve">Phase 1: now to the mid-term review (weeks 2–19)</w:t>
      </w:r>
    </w:p>
    <w:p>
      <w:pPr/>
      <w:r>
        <w:t xml:space="preserve">By the mid-term on w/c 22 February, every hardware board is built and tested, the controller runs on the ESP32, and the logbook shows all of it week by week. Week 1 is w/c 19 October 2026.</w:t>
      </w:r>
    </w:p>
    <w:tbl>
      <w:tblPr>
        <w:tblStyle w:val="TableGrid"/>
        <w:tblW w:w="0" w:type="auto"/>
        <w:tblLayout w:type="fixed"/>
        <w:tblLook w:val="04A0" w:firstRow="1" w:lastRow="0" w:firstColumn="0" w:lastColumn="0" w:noHBand="0" w:noVBand="1"/>
      </w:tblPr>
      <w:tblGrid>
        <w:gridCol w:w="1786"/>
        <w:gridCol w:w="3876"/>
        <w:gridCol w:w="1707"/>
        <w:gridCol w:w="1991"/>
      </w:tblGrid>
      <w:tr>
        <w:trPr>
          <w:tblHeader/>
        </w:trPr>
        <w:tc>
          <w:tcPr>
            <w:tcW w:w="1786" w:type="dxa"/>
            <w:shd w:val="clear" w:color="auto" w:fill="F2F2F2"/>
          </w:tcPr>
          <w:p>
            <w:pPr/>
            <w:r>
              <w:t xml:space="preserve">Weeks</w:t>
            </w:r>
          </w:p>
        </w:tc>
        <w:tc>
          <w:tcPr>
            <w:tcW w:w="3876" w:type="dxa"/>
            <w:shd w:val="clear" w:color="auto" w:fill="F2F2F2"/>
          </w:tcPr>
          <w:p>
            <w:pPr/>
            <w:r>
              <w:t xml:space="preserve">Deliverable</w:t>
            </w:r>
          </w:p>
        </w:tc>
        <w:tc>
          <w:tcPr>
            <w:tcW w:w="1707" w:type="dxa"/>
            <w:shd w:val="clear" w:color="auto" w:fill="F2F2F2"/>
          </w:tcPr>
          <w:p>
            <w:pPr/>
            <w:r>
              <w:t xml:space="preserve">Evidence for the assessors</w:t>
            </w:r>
          </w:p>
        </w:tc>
        <w:tc>
          <w:tcPr>
            <w:tcW w:w="1991" w:type="dxa"/>
            <w:shd w:val="clear" w:color="auto" w:fill="F2F2F2"/>
          </w:tcPr>
          <w:p>
            <w:pPr/>
            <w:r>
              <w:t xml:space="preserve">Objective</w:t>
            </w:r>
          </w:p>
        </w:tc>
      </w:tr>
      <w:tr>
        <w:tc>
          <w:tcPr>
            <w:tcW w:w="1786" w:type="dxa"/>
          </w:tcPr>
          <w:p>
            <w:pPr/>
            <w:r>
              <w:t xml:space="preserve">2 (w/c 26 Oct)</w:t>
            </w:r>
          </w:p>
        </w:tc>
        <w:tc>
          <w:tcPr>
            <w:tcW w:w="3876" w:type="dxa"/>
          </w:tcPr>
          <w:p>
            <w:pPr/>
            <w:r>
              <w:t xml:space="preserve">Logbook started; supervisor meeting with minutes; technical risk register v1; parts list to the technician by Wed 28 Oct, 17:00</w:t>
            </w:r>
          </w:p>
        </w:tc>
        <w:tc>
          <w:tcPr>
            <w:tcW w:w="1707" w:type="dxa"/>
          </w:tcPr>
          <w:p>
            <w:pPr/>
            <w:r>
              <w:t xml:space="preserve">Signed logbook page; order email; risk register</w:t>
            </w:r>
          </w:p>
        </w:tc>
        <w:tc>
          <w:tcPr>
            <w:tcW w:w="1991" w:type="dxa"/>
          </w:tcPr>
          <w:p>
            <w:pPr/>
            <w:r>
              <w:t xml:space="preserve">Planning, risk</w:t>
            </w:r>
          </w:p>
        </w:tc>
      </w:tr>
      <w:tr>
        <w:tc>
          <w:tcPr>
            <w:tcW w:w="1786" w:type="dxa"/>
          </w:tcPr>
          <w:p>
            <w:pPr/>
            <w:r>
              <w:t xml:space="preserve">2–5</w:t>
            </w:r>
          </w:p>
        </w:tc>
        <w:tc>
          <w:tcPr>
            <w:tcW w:w="3876" w:type="dxa"/>
          </w:tcPr>
          <w:p>
            <w:pPr/>
            <w:r>
              <w:t xml:space="preserve">Data pipeline: Octopus, Elexon, REFIT and UK-DALE downloaded, cleaned and aligned</w:t>
            </w:r>
          </w:p>
        </w:tc>
        <w:tc>
          <w:tcPr>
            <w:tcW w:w="1707" w:type="dxa"/>
          </w:tcPr>
          <w:p>
            <w:pPr/>
            <w:r>
              <w:t xml:space="preserve">T1 data-quality report</w:t>
            </w:r>
          </w:p>
        </w:tc>
        <w:tc>
          <w:tcPr>
            <w:tcW w:w="1991" w:type="dxa"/>
          </w:tcPr>
          <w:p>
            <w:pPr/>
            <w:r>
              <w:t xml:space="preserve">O1, due 20 Nov</w:t>
            </w:r>
          </w:p>
        </w:tc>
      </w:tr>
      <w:tr>
        <w:tc>
          <w:tcPr>
            <w:tcW w:w="1786" w:type="dxa"/>
          </w:tcPr>
          <w:p>
            <w:pPr/>
            <w:r>
              <w:t xml:space="preserve">2–9</w:t>
            </w:r>
          </w:p>
        </w:tc>
        <w:tc>
          <w:tcPr>
            <w:tcW w:w="3876" w:type="dxa"/>
          </w:tcPr>
          <w:p>
            <w:pPr/>
            <w:r>
              <w:t xml:space="preserve">Literature review: 20–30 sources, a comparison table of existing controllers, a one-paragraph gap</w:t>
            </w:r>
          </w:p>
        </w:tc>
        <w:tc>
          <w:tcPr>
            <w:tcW w:w="1707" w:type="dxa"/>
          </w:tcPr>
          <w:p>
            <w:pPr/>
            <w:r>
              <w:t xml:space="preserve">Draft chapter sent to Dr Shah by 18 Dec</w:t>
            </w:r>
          </w:p>
        </w:tc>
        <w:tc>
          <w:tcPr>
            <w:tcW w:w="1991" w:type="dxa"/>
          </w:tcPr>
          <w:p>
            <w:pPr/>
            <w:r>
              <w:t xml:space="preserve">Scope, mid-term</w:t>
            </w:r>
          </w:p>
        </w:tc>
      </w:tr>
      <w:tr>
        <w:tc>
          <w:tcPr>
            <w:tcW w:w="1786" w:type="dxa"/>
          </w:tcPr>
          <w:p>
            <w:pPr/>
            <w:r>
              <w:t xml:space="preserve">3–6</w:t>
            </w:r>
          </w:p>
        </w:tc>
        <w:tc>
          <w:tcPr>
            <w:tcW w:w="3876" w:type="dxa"/>
          </w:tcPr>
          <w:p>
            <w:pPr/>
            <w:r>
              <w:t xml:space="preserve">Power-sensing PCB: Proteus schematic and layout, technician check, Tuesday submission, assembly, calibration</w:t>
            </w:r>
          </w:p>
        </w:tc>
        <w:tc>
          <w:tcPr>
            <w:tcW w:w="1707" w:type="dxa"/>
          </w:tcPr>
          <w:p>
            <w:pPr/>
            <w:r>
              <w:t xml:space="preserve">Schematic, PCB photo, T2 results table</w:t>
            </w:r>
          </w:p>
        </w:tc>
        <w:tc>
          <w:tcPr>
            <w:tcW w:w="1991" w:type="dxa"/>
          </w:tcPr>
          <w:p>
            <w:pPr/>
            <w:r>
              <w:t xml:space="preserve">O2, due 27 Nov</w:t>
            </w:r>
          </w:p>
        </w:tc>
      </w:tr>
      <w:tr>
        <w:tc>
          <w:tcPr>
            <w:tcW w:w="1786" w:type="dxa"/>
          </w:tcPr>
          <w:p>
            <w:pPr/>
            <w:r>
              <w:t xml:space="preserve">4–8</w:t>
            </w:r>
          </w:p>
        </w:tc>
        <w:tc>
          <w:tcPr>
            <w:tcW w:w="3876" w:type="dxa"/>
          </w:tcPr>
          <w:p>
            <w:pPr/>
            <w:r>
              <w:t xml:space="preserve">Switching and protection PCB, with the over-current trip breadboarded first</w:t>
            </w:r>
          </w:p>
        </w:tc>
        <w:tc>
          <w:tcPr>
            <w:tcW w:w="1707" w:type="dxa"/>
          </w:tcPr>
          <w:p>
            <w:pPr/>
            <w:r>
              <w:t xml:space="preserve">Scope captures of switching edges and trip time (T4)</w:t>
            </w:r>
          </w:p>
        </w:tc>
        <w:tc>
          <w:tcPr>
            <w:tcW w:w="1991" w:type="dxa"/>
          </w:tcPr>
          <w:p>
            <w:pPr/>
            <w:r>
              <w:t xml:space="preserve">O4, due 11 Dec</w:t>
            </w:r>
          </w:p>
        </w:tc>
      </w:tr>
      <w:tr>
        <w:tc>
          <w:tcPr>
            <w:tcW w:w="1786" w:type="dxa"/>
          </w:tcPr>
          <w:p>
            <w:pPr/>
            <w:r>
              <w:t xml:space="preserve">6–9</w:t>
            </w:r>
          </w:p>
        </w:tc>
        <w:tc>
          <w:tcPr>
            <w:tcW w:w="3876" w:type="dxa"/>
          </w:tcPr>
          <w:p>
            <w:pPr/>
            <w:r>
              <w:t xml:space="preserve">Python simulator, the perfect plan (linear programming) and the baseline forecasters</w:t>
            </w:r>
          </w:p>
        </w:tc>
        <w:tc>
          <w:tcPr>
            <w:tcW w:w="1707" w:type="dxa"/>
          </w:tcPr>
          <w:p>
            <w:pPr/>
            <w:r>
              <w:t xml:space="preserve">Notebook with first results</w:t>
            </w:r>
          </w:p>
        </w:tc>
        <w:tc>
          <w:tcPr>
            <w:tcW w:w="1991" w:type="dxa"/>
          </w:tcPr>
          <w:p>
            <w:pPr/>
            <w:r>
              <w:t xml:space="preserve">O5 groundwork</w:t>
            </w:r>
          </w:p>
        </w:tc>
      </w:tr>
      <w:tr>
        <w:tc>
          <w:tcPr>
            <w:tcW w:w="1786" w:type="dxa"/>
          </w:tcPr>
          <w:p>
            <w:pPr/>
            <w:r>
              <w:t xml:space="preserve">7–9</w:t>
            </w:r>
          </w:p>
        </w:tc>
        <w:tc>
          <w:tcPr>
            <w:tcW w:w="3876" w:type="dxa"/>
          </w:tcPr>
          <w:p>
            <w:pPr/>
            <w:r>
              <w:t xml:space="preserve">Electronic load: op-amp loop breadboarded first with a lab signal generator as the set-point, then the PCB</w:t>
            </w:r>
          </w:p>
        </w:tc>
        <w:tc>
          <w:tcPr>
            <w:tcW w:w="1707" w:type="dxa"/>
          </w:tcPr>
          <w:p>
            <w:pPr/>
            <w:r>
              <w:t xml:space="preserve">DAC sweep, step response and 1-hour soak (T3)</w:t>
            </w:r>
          </w:p>
        </w:tc>
        <w:tc>
          <w:tcPr>
            <w:tcW w:w="1991" w:type="dxa"/>
          </w:tcPr>
          <w:p>
            <w:pPr/>
            <w:r>
              <w:t xml:space="preserve">O3, due 18 Dec</w:t>
            </w:r>
          </w:p>
        </w:tc>
      </w:tr>
      <w:tr>
        <w:tc>
          <w:tcPr>
            <w:tcW w:w="1786" w:type="dxa"/>
          </w:tcPr>
          <w:p>
            <w:pPr/>
            <w:r>
              <w:t xml:space="preserve">10–14</w:t>
            </w:r>
          </w:p>
        </w:tc>
        <w:tc>
          <w:tcPr>
            <w:tcW w:w="3876" w:type="dxa"/>
          </w:tcPr>
          <w:p>
            <w:pPr/>
            <w:r>
              <w:t xml:space="preserve">Christmas and January exams: no planned project work</w:t>
            </w:r>
          </w:p>
        </w:tc>
        <w:tc>
          <w:tcPr>
            <w:tcW w:w="1707" w:type="dxa"/>
          </w:tcPr>
          <w:p>
            <w:pPr/>
            <w:r>
              <w:t xml:space="preserve">—</w:t>
            </w:r>
          </w:p>
        </w:tc>
        <w:tc>
          <w:tcPr>
            <w:tcW w:w="1991" w:type="dxa"/>
          </w:tcPr>
          <w:p>
            <w:pPr/>
            <w:r>
              <w:t xml:space="preserve">—</w:t>
            </w:r>
          </w:p>
        </w:tc>
      </w:tr>
      <w:tr>
        <w:tc>
          <w:tcPr>
            <w:tcW w:w="1786" w:type="dxa"/>
          </w:tcPr>
          <w:p>
            <w:pPr/>
            <w:r>
              <w:t xml:space="preserve">15</w:t>
            </w:r>
          </w:p>
        </w:tc>
        <w:tc>
          <w:tcPr>
            <w:tcW w:w="3876" w:type="dxa"/>
          </w:tcPr>
          <w:p>
            <w:pPr/>
            <w:r>
              <w:t xml:space="preserve">LightGBM forecaster against the baselines on the held-out year</w:t>
            </w:r>
          </w:p>
        </w:tc>
        <w:tc>
          <w:tcPr>
            <w:tcW w:w="1707" w:type="dxa"/>
          </w:tcPr>
          <w:p>
            <w:pPr/>
            <w:r>
              <w:t xml:space="preserve">T5 results</w:t>
            </w:r>
          </w:p>
        </w:tc>
        <w:tc>
          <w:tcPr>
            <w:tcW w:w="1991" w:type="dxa"/>
          </w:tcPr>
          <w:p>
            <w:pPr/>
            <w:r>
              <w:t xml:space="preserve">O5, due 29 Jan</w:t>
            </w:r>
          </w:p>
        </w:tc>
      </w:tr>
      <w:tr>
        <w:tc>
          <w:tcPr>
            <w:tcW w:w="1786" w:type="dxa"/>
          </w:tcPr>
          <w:p>
            <w:pPr/>
            <w:r>
              <w:t xml:space="preserve">15–18</w:t>
            </w:r>
          </w:p>
        </w:tc>
        <w:tc>
          <w:tcPr>
            <w:tcW w:w="3876" w:type="dxa"/>
          </w:tcPr>
          <w:p>
            <w:pPr/>
            <w:r>
              <w:t xml:space="preserve">DP planner on the ESP32 under FreeRTOS; LCD, LED bar and buttons</w:t>
            </w:r>
          </w:p>
        </w:tc>
        <w:tc>
          <w:tcPr>
            <w:tcW w:w="1707" w:type="dxa"/>
          </w:tcPr>
          <w:p>
            <w:pPr/>
            <w:r>
              <w:t xml:space="preserve">Re-plan timing and memory log (T6); photo of the board running alone</w:t>
            </w:r>
          </w:p>
        </w:tc>
        <w:tc>
          <w:tcPr>
            <w:tcW w:w="1991" w:type="dxa"/>
          </w:tcPr>
          <w:p>
            <w:pPr/>
            <w:r>
              <w:t xml:space="preserve">O6, O7</w:t>
            </w:r>
          </w:p>
        </w:tc>
      </w:tr>
      <w:tr>
        <w:tc>
          <w:tcPr>
            <w:tcW w:w="1786" w:type="dxa"/>
          </w:tcPr>
          <w:p>
            <w:pPr/>
            <w:r>
              <w:t xml:space="preserve">18–19</w:t>
            </w:r>
          </w:p>
        </w:tc>
        <w:tc>
          <w:tcPr>
            <w:tcW w:w="3876" w:type="dxa"/>
          </w:tcPr>
          <w:p>
            <w:pPr/>
            <w:r>
              <w:t xml:space="preserve">Mid-term pack: deck, signed logbook, literature review, original and revised Gantt, updated risk register</w:t>
            </w:r>
          </w:p>
        </w:tc>
        <w:tc>
          <w:tcPr>
            <w:tcW w:w="1707" w:type="dxa"/>
          </w:tcPr>
          <w:p>
            <w:pPr/>
            <w:r>
              <w:t xml:space="preserve">The review itself</w:t>
            </w:r>
          </w:p>
        </w:tc>
        <w:tc>
          <w:tcPr>
            <w:tcW w:w="1991" w:type="dxa"/>
          </w:tcPr>
          <w:p>
            <w:pPr/>
            <w:r>
              <w:t xml:space="preserve">Mid-term</w:t>
            </w:r>
          </w:p>
        </w:tc>
      </w:tr>
    </w:tbl>
    <w:p>
      <w:pPr/>
      <w:r>
        <w:rPr>
          <w:b/>
        </w:rPr>
        <w:t xml:space="preserve">Rule for every hardware item:</w:t>
      </w:r>
      <w:r>
        <w:t xml:space="preserve"> breadboard it, test it, then lay out the PCB. A failed first board costs a week, not a month, because Aston makes PCBs weekly.</w:t>
      </w:r>
    </w:p>
    <w:p>
      <w:pPr>
        <w:pStyle w:val="Heading2"/>
      </w:pPr>
      <w:r>
        <w:t xml:space="preserve">Weeks 2–9 in detail</w:t>
      </w:r>
    </w:p>
    <w:p>
      <w:pPr/>
      <w:r>
        <w:t xml:space="preserve">About 20 hours a week before Christmas, alongside the other modules; each week ends with a logbook entry and a Git tag. "Done when" is the check you show Dr Shah.</w:t>
      </w:r>
    </w:p>
    <w:tbl>
      <w:tblPr>
        <w:tblStyle w:val="TableGrid"/>
        <w:tblW w:w="0" w:type="auto"/>
        <w:tblLayout w:type="fixed"/>
        <w:tblLook w:val="04A0" w:firstRow="1" w:lastRow="0" w:firstColumn="0" w:lastColumn="0" w:noHBand="0" w:noVBand="1"/>
      </w:tblPr>
      <w:tblGrid>
        <w:gridCol w:w="1477"/>
        <w:gridCol w:w="4920"/>
        <w:gridCol w:w="2963"/>
      </w:tblGrid>
      <w:tr>
        <w:trPr>
          <w:tblHeader/>
        </w:trPr>
        <w:tc>
          <w:tcPr>
            <w:tcW w:w="1477" w:type="dxa"/>
            <w:shd w:val="clear" w:color="auto" w:fill="F2F2F2"/>
          </w:tcPr>
          <w:p>
            <w:pPr/>
            <w:r>
              <w:t xml:space="preserve">Week (w/c)</w:t>
            </w:r>
          </w:p>
        </w:tc>
        <w:tc>
          <w:tcPr>
            <w:tcW w:w="4920" w:type="dxa"/>
            <w:shd w:val="clear" w:color="auto" w:fill="F2F2F2"/>
          </w:tcPr>
          <w:p>
            <w:pPr/>
            <w:r>
              <w:t xml:space="preserve">Tasks (hours)</w:t>
            </w:r>
          </w:p>
        </w:tc>
        <w:tc>
          <w:tcPr>
            <w:tcW w:w="2963" w:type="dxa"/>
            <w:shd w:val="clear" w:color="auto" w:fill="F2F2F2"/>
          </w:tcPr>
          <w:p>
            <w:pPr/>
            <w:r>
              <w:t xml:space="preserve">Done when</w:t>
            </w:r>
          </w:p>
        </w:tc>
      </w:tr>
      <w:tr>
        <w:tc>
          <w:tcPr>
            <w:tcW w:w="1477" w:type="dxa"/>
          </w:tcPr>
          <w:p>
            <w:pPr/>
            <w:r>
              <w:t xml:space="preserve">2 (26 Oct)</w:t>
            </w:r>
          </w:p>
        </w:tc>
        <w:tc>
          <w:tcPr>
            <w:tcW w:w="4920" w:type="dxa"/>
          </w:tcPr>
          <w:p>
            <w:pPr/>
            <w:r>
              <w:t xml:space="preserve">Logbook set-up and back-fill (3); supervisor meeting and minutes (2); risk register v1 (2); parts list to the technician by Wed 17:00 (3); download and store a year of Octopus and Elexon data (4); one-day Proteus practice task (6)</w:t>
            </w:r>
          </w:p>
        </w:tc>
        <w:tc>
          <w:tcPr>
            <w:tcW w:w="2963" w:type="dxa"/>
          </w:tcPr>
          <w:p>
            <w:pPr/>
            <w:r>
              <w:t xml:space="preserve">Order sent; data stored in Git; risk register signed in the logbook</w:t>
            </w:r>
          </w:p>
        </w:tc>
      </w:tr>
      <w:tr>
        <w:tc>
          <w:tcPr>
            <w:tcW w:w="1477" w:type="dxa"/>
          </w:tcPr>
          <w:p>
            <w:pPr/>
            <w:r>
              <w:t xml:space="preserve">3 (2 Nov)</w:t>
            </w:r>
          </w:p>
        </w:tc>
        <w:tc>
          <w:tcPr>
            <w:tcW w:w="4920" w:type="dxa"/>
          </w:tcPr>
          <w:p>
            <w:pPr/>
            <w:r>
              <w:t xml:space="preserve">Sensing PCB schematic in Proteus (8); one-day FreeRTOS practice task on the ESP8266 or ESP32 (6); literature search, 15 sources logged (6)</w:t>
            </w:r>
          </w:p>
        </w:tc>
        <w:tc>
          <w:tcPr>
            <w:tcW w:w="2963" w:type="dxa"/>
          </w:tcPr>
          <w:p>
            <w:pPr/>
            <w:r>
              <w:t xml:space="preserve">Schematic reviewed by the technician</w:t>
            </w:r>
          </w:p>
        </w:tc>
      </w:tr>
      <w:tr>
        <w:tc>
          <w:tcPr>
            <w:tcW w:w="1477" w:type="dxa"/>
          </w:tcPr>
          <w:p>
            <w:pPr/>
            <w:r>
              <w:t xml:space="preserve">4 (9 Nov)</w:t>
            </w:r>
          </w:p>
        </w:tc>
        <w:tc>
          <w:tcPr>
            <w:tcW w:w="4920" w:type="dxa"/>
          </w:tcPr>
          <w:p>
            <w:pPr/>
            <w:r>
              <w:t xml:space="preserve">Sensing PCB layout, design-rule check, Tuesday submission (8); data pipeline: cleaning and alignment (6); literature comparison table started (6)</w:t>
            </w:r>
          </w:p>
        </w:tc>
        <w:tc>
          <w:tcPr>
            <w:tcW w:w="2963" w:type="dxa"/>
          </w:tcPr>
          <w:p>
            <w:pPr/>
            <w:r>
              <w:t xml:space="preserve">Board submitted; pipeline runs end to end</w:t>
            </w:r>
          </w:p>
        </w:tc>
      </w:tr>
      <w:tr>
        <w:tc>
          <w:tcPr>
            <w:tcW w:w="1477" w:type="dxa"/>
          </w:tcPr>
          <w:p>
            <w:pPr/>
            <w:r>
              <w:t xml:space="preserve">5 (16 Nov)</w:t>
            </w:r>
          </w:p>
        </w:tc>
        <w:tc>
          <w:tcPr>
            <w:tcW w:w="4920" w:type="dxa"/>
          </w:tcPr>
          <w:p>
            <w:pPr/>
            <w:r>
              <w:t xml:space="preserve">Assemble the sensing PCB on the SMD station (6); T1 data-quality report (4); switching and protection schematic, over-current trip breadboarded (10)</w:t>
            </w:r>
          </w:p>
        </w:tc>
        <w:tc>
          <w:tcPr>
            <w:tcW w:w="2963" w:type="dxa"/>
          </w:tcPr>
          <w:p>
            <w:pPr/>
            <w:r>
              <w:rPr>
                <w:b/>
              </w:rPr>
              <w:t xml:space="preserve">O1 met (20 Nov)</w:t>
            </w:r>
            <w:r>
              <w:t xml:space="preserve">; trip works on the breadboard</w:t>
            </w:r>
          </w:p>
        </w:tc>
      </w:tr>
      <w:tr>
        <w:tc>
          <w:tcPr>
            <w:tcW w:w="1477" w:type="dxa"/>
          </w:tcPr>
          <w:p>
            <w:pPr/>
            <w:r>
              <w:t xml:space="preserve">6 (23 Nov)</w:t>
            </w:r>
          </w:p>
        </w:tc>
        <w:tc>
          <w:tcPr>
            <w:tcW w:w="4920" w:type="dxa"/>
          </w:tcPr>
          <w:p>
            <w:pPr/>
            <w:r>
              <w:t xml:space="preserve">T2 calibration sweep of all three channels (8); switching PCB layout and submission (8); Python simulator skeleton (4)</w:t>
            </w:r>
          </w:p>
        </w:tc>
        <w:tc>
          <w:tcPr>
            <w:tcW w:w="2963" w:type="dxa"/>
          </w:tcPr>
          <w:p>
            <w:pPr/>
            <w:r>
              <w:rPr>
                <w:b/>
              </w:rPr>
              <w:t xml:space="preserve">O2 met (27 Nov)</w:t>
            </w:r>
            <w:r>
              <w:t xml:space="preserve">: T2 test sheet signed</w:t>
            </w:r>
          </w:p>
        </w:tc>
      </w:tr>
      <w:tr>
        <w:tc>
          <w:tcPr>
            <w:tcW w:w="1477" w:type="dxa"/>
          </w:tcPr>
          <w:p>
            <w:pPr/>
            <w:r>
              <w:t xml:space="preserve">7 (30 Nov)</w:t>
            </w:r>
          </w:p>
        </w:tc>
        <w:tc>
          <w:tcPr>
            <w:tcW w:w="4920" w:type="dxa"/>
          </w:tcPr>
          <w:p>
            <w:pPr/>
            <w:r>
              <w:t xml:space="preserve">Electronic load breadboard: loop, step response, tuning (10); switching PCB assembly (6); perfect plan by linear programming (4)</w:t>
            </w:r>
          </w:p>
        </w:tc>
        <w:tc>
          <w:tcPr>
            <w:tcW w:w="2963" w:type="dxa"/>
          </w:tcPr>
          <w:p>
            <w:pPr/>
            <w:r>
              <w:t xml:space="preserve">Stable step response captured on the scope</w:t>
            </w:r>
          </w:p>
        </w:tc>
      </w:tr>
      <w:tr>
        <w:tc>
          <w:tcPr>
            <w:tcW w:w="1477" w:type="dxa"/>
          </w:tcPr>
          <w:p>
            <w:pPr/>
            <w:r>
              <w:t xml:space="preserve">8 (7 Dec)</w:t>
            </w:r>
          </w:p>
        </w:tc>
        <w:tc>
          <w:tcPr>
            <w:tcW w:w="4920" w:type="dxa"/>
          </w:tcPr>
          <w:p>
            <w:pPr/>
            <w:r>
              <w:t xml:space="preserve">T4 tests on the switching board (6); electronic load PCB submission (6); DP state count and timing in Python (4); battery round-trip test (4)</w:t>
            </w:r>
          </w:p>
        </w:tc>
        <w:tc>
          <w:tcPr>
            <w:tcW w:w="2963" w:type="dxa"/>
          </w:tcPr>
          <w:p>
            <w:pPr/>
            <w:r>
              <w:rPr>
                <w:b/>
              </w:rPr>
              <w:t xml:space="preserve">O4 met (11 Dec)</w:t>
            </w:r>
            <w:r>
              <w:t xml:space="preserve">: T4 sheet signed</w:t>
            </w:r>
          </w:p>
        </w:tc>
      </w:tr>
      <w:tr>
        <w:tc>
          <w:tcPr>
            <w:tcW w:w="1477" w:type="dxa"/>
          </w:tcPr>
          <w:p>
            <w:pPr/>
            <w:r>
              <w:t xml:space="preserve">9 (14 Dec)</w:t>
            </w:r>
          </w:p>
        </w:tc>
        <w:tc>
          <w:tcPr>
            <w:tcW w:w="4920" w:type="dxa"/>
          </w:tcPr>
          <w:p>
            <w:pPr/>
            <w:r>
              <w:t xml:space="preserve">Electronic load assembly and T3 (10); baseline forecasters and first results (6); literature review draft to Dr Shah (4)</w:t>
            </w:r>
          </w:p>
        </w:tc>
        <w:tc>
          <w:tcPr>
            <w:tcW w:w="2963" w:type="dxa"/>
          </w:tcPr>
          <w:p>
            <w:pPr/>
            <w:r>
              <w:rPr>
                <w:b/>
              </w:rPr>
              <w:t xml:space="preserve">O3 met (18 Dec)</w:t>
            </w:r>
            <w:r>
              <w:t xml:space="preserve">; draft chapter sent</w:t>
            </w:r>
          </w:p>
        </w:tc>
      </w:tr>
    </w:tbl>
    <w:p>
      <w:pPr/>
      <w:r>
        <w:t xml:space="preserve">If a week slips, the float on the software tasks absorbs it; the hardware order of sensing, then switching, then load does not change.</w:t>
      </w:r>
    </w:p>
    <w:p>
      <w:pPr>
        <w:pStyle w:val="Heading2"/>
      </w:pPr>
      <w:r>
        <w:t xml:space="preserve">Phase 2: mid-term to submission (weeks 19–30)</w:t>
      </w:r>
    </w:p>
    <w:p>
      <w:pPr/>
      <w:r>
        <w:t xml:space="preserve">The report is written as the work happens, so that the final weeks go on evaluation and polish rather than first drafts. A full draft reaches Dr Shah three weeks before the deadline.</w:t>
      </w:r>
    </w:p>
    <w:tbl>
      <w:tblPr>
        <w:tblStyle w:val="TableGrid"/>
        <w:tblW w:w="0" w:type="auto"/>
        <w:tblLayout w:type="fixed"/>
        <w:tblLook w:val="04A0" w:firstRow="1" w:lastRow="0" w:firstColumn="0" w:lastColumn="0" w:noHBand="0" w:noVBand="1"/>
      </w:tblPr>
      <w:tblGrid>
        <w:gridCol w:w="1952"/>
        <w:gridCol w:w="3991"/>
        <w:gridCol w:w="2072"/>
        <w:gridCol w:w="1345"/>
      </w:tblGrid>
      <w:tr>
        <w:trPr>
          <w:tblHeader/>
        </w:trPr>
        <w:tc>
          <w:tcPr>
            <w:tcW w:w="1952" w:type="dxa"/>
            <w:shd w:val="clear" w:color="auto" w:fill="F2F2F2"/>
          </w:tcPr>
          <w:p>
            <w:pPr/>
            <w:r>
              <w:t xml:space="preserve">Weeks</w:t>
            </w:r>
          </w:p>
        </w:tc>
        <w:tc>
          <w:tcPr>
            <w:tcW w:w="3991" w:type="dxa"/>
            <w:shd w:val="clear" w:color="auto" w:fill="F2F2F2"/>
          </w:tcPr>
          <w:p>
            <w:pPr/>
            <w:r>
              <w:t xml:space="preserve">Deliverable</w:t>
            </w:r>
          </w:p>
        </w:tc>
        <w:tc>
          <w:tcPr>
            <w:tcW w:w="2072" w:type="dxa"/>
            <w:shd w:val="clear" w:color="auto" w:fill="F2F2F2"/>
          </w:tcPr>
          <w:p>
            <w:pPr/>
            <w:r>
              <w:t xml:space="preserve">Evidence</w:t>
            </w:r>
          </w:p>
        </w:tc>
        <w:tc>
          <w:tcPr>
            <w:tcW w:w="1345" w:type="dxa"/>
            <w:shd w:val="clear" w:color="auto" w:fill="F2F2F2"/>
          </w:tcPr>
          <w:p>
            <w:pPr/>
            <w:r>
              <w:t xml:space="preserve">Objective</w:t>
            </w:r>
          </w:p>
        </w:tc>
      </w:tr>
      <w:tr>
        <w:tc>
          <w:tcPr>
            <w:tcW w:w="1952" w:type="dxa"/>
          </w:tcPr>
          <w:p>
            <w:pPr/>
            <w:r>
              <w:t xml:space="preserve">19–20</w:t>
            </w:r>
          </w:p>
        </w:tc>
        <w:tc>
          <w:tcPr>
            <w:tcW w:w="3991" w:type="dxa"/>
          </w:tcPr>
          <w:p>
            <w:pPr/>
            <w:r>
              <w:t xml:space="preserve">Integration: all boards, the ESP32 and the laptop in one closed loop; mid-term feedback acted on</w:t>
            </w:r>
          </w:p>
        </w:tc>
        <w:tc>
          <w:tcPr>
            <w:tcW w:w="2072" w:type="dxa"/>
          </w:tcPr>
          <w:p>
            <w:pPr/>
            <w:r>
              <w:t xml:space="preserve">Rig running a full replayed day; logbook entry on the feedback</w:t>
            </w:r>
          </w:p>
        </w:tc>
        <w:tc>
          <w:tcPr>
            <w:tcW w:w="1345" w:type="dxa"/>
          </w:tcPr>
          <w:p>
            <w:pPr/>
            <w:r>
              <w:t xml:space="preserve">Integration</w:t>
            </w:r>
          </w:p>
        </w:tc>
      </w:tr>
      <w:tr>
        <w:tc>
          <w:tcPr>
            <w:tcW w:w="1952" w:type="dxa"/>
          </w:tcPr>
          <w:p>
            <w:pPr/>
            <w:r>
              <w:t xml:space="preserve">20</w:t>
            </w:r>
          </w:p>
        </w:tc>
        <w:tc>
          <w:tcPr>
            <w:tcW w:w="3991" w:type="dxa"/>
          </w:tcPr>
          <w:p>
            <w:pPr/>
            <w:r>
              <w:t xml:space="preserve">Report chapters drafted: design and implementation</w:t>
            </w:r>
          </w:p>
        </w:tc>
        <w:tc>
          <w:tcPr>
            <w:tcW w:w="2072" w:type="dxa"/>
          </w:tcPr>
          <w:p>
            <w:pPr/>
            <w:r>
              <w:t xml:space="preserve">Draft to Dr Shah</w:t>
            </w:r>
          </w:p>
        </w:tc>
        <w:tc>
          <w:tcPr>
            <w:tcW w:w="1345" w:type="dxa"/>
          </w:tcPr>
          <w:p>
            <w:pPr/>
            <w:r>
              <w:t xml:space="preserve">Exposition</w:t>
            </w:r>
          </w:p>
        </w:tc>
      </w:tr>
      <w:tr>
        <w:tc>
          <w:tcPr>
            <w:tcW w:w="1952" w:type="dxa"/>
          </w:tcPr>
          <w:p>
            <w:pPr/>
            <w:r>
              <w:t xml:space="preserve">21–23</w:t>
            </w:r>
          </w:p>
        </w:tc>
        <w:tc>
          <w:tcPr>
            <w:tcW w:w="3991" w:type="dxa"/>
          </w:tcPr>
          <w:p>
            <w:pPr/>
            <w:r>
              <w:t xml:space="preserve">Evaluation: five scenarios over the held-out year in simulation; 24 rig runs; statistics</w:t>
            </w:r>
          </w:p>
        </w:tc>
        <w:tc>
          <w:tcPr>
            <w:tcW w:w="2072" w:type="dxa"/>
          </w:tcPr>
          <w:p>
            <w:pPr/>
            <w:r>
              <w:t xml:space="preserve">Results tables and plots; Wilcoxon tests with 95% confidence intervals (T8)</w:t>
            </w:r>
          </w:p>
        </w:tc>
        <w:tc>
          <w:tcPr>
            <w:tcW w:w="1345" w:type="dxa"/>
          </w:tcPr>
          <w:p>
            <w:pPr/>
            <w:r>
              <w:t xml:space="preserve">O8, due 26 Mar</w:t>
            </w:r>
          </w:p>
        </w:tc>
      </w:tr>
      <w:tr>
        <w:tc>
          <w:tcPr>
            <w:tcW w:w="1952" w:type="dxa"/>
          </w:tcPr>
          <w:p>
            <w:pPr/>
            <w:r>
              <w:t xml:space="preserve">21–24</w:t>
            </w:r>
          </w:p>
        </w:tc>
        <w:tc>
          <w:tcPr>
            <w:tcW w:w="3991" w:type="dxa"/>
          </w:tcPr>
          <w:p>
            <w:pPr/>
            <w:r>
              <w:t xml:space="preserve">Extensions only if on track, cut in order: LSTM, PSO/GA comparison, appliance recognition, power-cut mode</w:t>
            </w:r>
          </w:p>
        </w:tc>
        <w:tc>
          <w:tcPr>
            <w:tcW w:w="2072" w:type="dxa"/>
          </w:tcPr>
          <w:p>
            <w:pPr/>
            <w:r>
              <w:t xml:space="preserve">Extra results, clearly marked as extensions</w:t>
            </w:r>
          </w:p>
        </w:tc>
        <w:tc>
          <w:tcPr>
            <w:tcW w:w="1345" w:type="dxa"/>
          </w:tcPr>
          <w:p>
            <w:pPr/>
            <w:r>
              <w:t xml:space="preserve">Optional</w:t>
            </w:r>
          </w:p>
        </w:tc>
      </w:tr>
      <w:tr>
        <w:tc>
          <w:tcPr>
            <w:tcW w:w="1952" w:type="dxa"/>
          </w:tcPr>
          <w:p>
            <w:pPr/>
            <w:r>
              <w:t xml:space="preserve">22–24</w:t>
            </w:r>
          </w:p>
        </w:tc>
        <w:tc>
          <w:tcPr>
            <w:tcW w:w="3991" w:type="dxa"/>
          </w:tcPr>
          <w:p>
            <w:pPr/>
            <w:r>
              <w:t xml:space="preserve">Report chapters drafted: testing, evaluation, reflection</w:t>
            </w:r>
          </w:p>
        </w:tc>
        <w:tc>
          <w:tcPr>
            <w:tcW w:w="2072" w:type="dxa"/>
          </w:tcPr>
          <w:p>
            <w:pPr/>
            <w:r>
              <w:t xml:space="preserve">Draft to Dr Shah</w:t>
            </w:r>
          </w:p>
        </w:tc>
        <w:tc>
          <w:tcPr>
            <w:tcW w:w="1345" w:type="dxa"/>
          </w:tcPr>
          <w:p>
            <w:pPr/>
            <w:r>
              <w:t xml:space="preserve">Evaluation and reflection</w:t>
            </w:r>
          </w:p>
        </w:tc>
      </w:tr>
      <w:tr>
        <w:tc>
          <w:tcPr>
            <w:tcW w:w="1952" w:type="dxa"/>
          </w:tcPr>
          <w:p>
            <w:pPr/>
            <w:r>
              <w:t xml:space="preserve">24 (w/c 29 Mar)</w:t>
            </w:r>
          </w:p>
        </w:tc>
        <w:tc>
          <w:tcPr>
            <w:tcW w:w="3991" w:type="dxa"/>
          </w:tcPr>
          <w:p>
            <w:pPr/>
            <w:r>
              <w:rPr>
                <w:b/>
              </w:rPr>
              <w:t xml:space="preserve">Full report draft</w:t>
            </w:r>
            <w:r>
              <w:t xml:space="preserve"> to Dr Shah for comments</w:t>
            </w:r>
          </w:p>
        </w:tc>
        <w:tc>
          <w:tcPr>
            <w:tcW w:w="2072" w:type="dxa"/>
          </w:tcPr>
          <w:p>
            <w:pPr/>
            <w:r>
              <w:t xml:space="preserve">Email with the draft</w:t>
            </w:r>
          </w:p>
        </w:tc>
        <w:tc>
          <w:tcPr>
            <w:tcW w:w="1345" w:type="dxa"/>
          </w:tcPr>
          <w:p>
            <w:pPr/>
            <w:r>
              <w:t xml:space="preserve">Exposition</w:t>
            </w:r>
          </w:p>
        </w:tc>
      </w:tr>
      <w:tr>
        <w:tc>
          <w:tcPr>
            <w:tcW w:w="1952" w:type="dxa"/>
          </w:tcPr>
          <w:p>
            <w:pPr/>
            <w:r>
              <w:t xml:space="preserve">25–27</w:t>
            </w:r>
          </w:p>
        </w:tc>
        <w:tc>
          <w:tcPr>
            <w:tcW w:w="3991" w:type="dxa"/>
          </w:tcPr>
          <w:p>
            <w:pPr/>
            <w:r>
              <w:t xml:space="preserve">Revise from feedback; check references, figures, word count and the code annexe</w:t>
            </w:r>
          </w:p>
        </w:tc>
        <w:tc>
          <w:tcPr>
            <w:tcW w:w="2072" w:type="dxa"/>
          </w:tcPr>
          <w:p>
            <w:pPr/>
            <w:r>
              <w:t xml:space="preserve">Final report submitted Fri 23 Apr</w:t>
            </w:r>
          </w:p>
        </w:tc>
        <w:tc>
          <w:tcPr>
            <w:tcW w:w="1345" w:type="dxa"/>
          </w:tcPr>
          <w:p>
            <w:pPr/>
            <w:r>
              <w:t xml:space="preserve">All</w:t>
            </w:r>
          </w:p>
        </w:tc>
      </w:tr>
      <w:tr>
        <w:tc>
          <w:tcPr>
            <w:tcW w:w="1952" w:type="dxa"/>
          </w:tcPr>
          <w:p>
            <w:pPr/>
            <w:r>
              <w:t xml:space="preserve">28–30</w:t>
            </w:r>
          </w:p>
        </w:tc>
        <w:tc>
          <w:tcPr>
            <w:tcW w:w="3991" w:type="dxa"/>
          </w:tcPr>
          <w:p>
            <w:pPr/>
            <w:r>
              <w:t xml:space="preserve">Demonstration: rehearsed live run, a recorded backup, a results poster on the bench monitor</w:t>
            </w:r>
          </w:p>
        </w:tc>
        <w:tc>
          <w:tcPr>
            <w:tcW w:w="2072" w:type="dxa"/>
          </w:tcPr>
          <w:p>
            <w:pPr/>
            <w:r>
              <w:t xml:space="preserve">Demonstration, w/c 10 May</w:t>
            </w:r>
          </w:p>
        </w:tc>
        <w:tc>
          <w:tcPr>
            <w:tcW w:w="1345" w:type="dxa"/>
          </w:tcPr>
          <w:p>
            <w:pPr/>
            <w:r>
              <w:t xml:space="preserve">Practical realisation</w:t>
            </w:r>
          </w:p>
        </w:tc>
      </w:tr>
    </w:tbl>
    <w:p>
      <w:pPr/>
      <w:r>
        <w:rPr>
          <w:b/>
        </w:rPr>
        <w:t xml:space="preserve">At the demonstration,</w:t>
      </w:r>
      <w:r>
        <w:t xml:space="preserve"> show the numbers against each objective. The handbook asks for quantitative data on how close each objective came, and by how much and why where it fell short.</w:t>
      </w:r>
    </w:p>
    <w:p>
      <w:pPr>
        <w:pStyle w:val="Heading2"/>
      </w:pPr>
      <w:r>
        <w:t xml:space="preserve">How the report earns a top mark</w:t>
      </w:r>
    </w:p>
    <w:p>
      <w:pPr/>
      <w:r>
        <w:t xml:space="preserve">The report carries three of the four final components, so each chapter is written to answer a specific line of the handbook. Check the word limit in the module specification first: references and appendices count towards it.</w:t>
      </w:r>
    </w:p>
    <w:tbl>
      <w:tblPr>
        <w:tblStyle w:val="TableGrid"/>
        <w:tblW w:w="0" w:type="auto"/>
        <w:tblLayout w:type="fixed"/>
        <w:tblLook w:val="04A0" w:firstRow="1" w:lastRow="0" w:firstColumn="0" w:lastColumn="0" w:noHBand="0" w:noVBand="1"/>
      </w:tblPr>
      <w:tblGrid>
        <w:gridCol w:w="2856"/>
        <w:gridCol w:w="4328"/>
        <w:gridCol w:w="2176"/>
      </w:tblGrid>
      <w:tr>
        <w:trPr>
          <w:tblHeader/>
        </w:trPr>
        <w:tc>
          <w:tcPr>
            <w:tcW w:w="2856" w:type="dxa"/>
            <w:shd w:val="clear" w:color="auto" w:fill="F2F2F2"/>
          </w:tcPr>
          <w:p>
            <w:pPr/>
            <w:r>
              <w:t xml:space="preserve">Chapter</w:t>
            </w:r>
          </w:p>
        </w:tc>
        <w:tc>
          <w:tcPr>
            <w:tcW w:w="4328" w:type="dxa"/>
            <w:shd w:val="clear" w:color="auto" w:fill="F2F2F2"/>
          </w:tcPr>
          <w:p>
            <w:pPr/>
            <w:r>
              <w:t xml:space="preserve">What it must show</w:t>
            </w:r>
          </w:p>
        </w:tc>
        <w:tc>
          <w:tcPr>
            <w:tcW w:w="2176" w:type="dxa"/>
            <w:shd w:val="clear" w:color="auto" w:fill="F2F2F2"/>
          </w:tcPr>
          <w:p>
            <w:pPr/>
            <w:r>
              <w:t xml:space="preserve">Handbook line it answers</w:t>
            </w:r>
          </w:p>
        </w:tc>
      </w:tr>
      <w:tr>
        <w:tc>
          <w:tcPr>
            <w:tcW w:w="2856" w:type="dxa"/>
          </w:tcPr>
          <w:p>
            <w:pPr/>
            <w:r>
              <w:t xml:space="preserve">Introduction</w:t>
            </w:r>
          </w:p>
        </w:tc>
        <w:tc>
          <w:tcPr>
            <w:tcW w:w="4328" w:type="dxa"/>
          </w:tcPr>
          <w:p>
            <w:pPr/>
            <w:r>
              <w:t xml:space="preserve">Problem with real numbers; aim; the eight SMART objectives; contribution in one paragraph</w:t>
            </w:r>
          </w:p>
        </w:tc>
        <w:tc>
          <w:tcPr>
            <w:tcW w:w="2176" w:type="dxa"/>
          </w:tcPr>
          <w:p>
            <w:pPr/>
            <w:r>
              <w:t xml:space="preserve">Exposition: objectives and context</w:t>
            </w:r>
          </w:p>
        </w:tc>
      </w:tr>
      <w:tr>
        <w:tc>
          <w:tcPr>
            <w:tcW w:w="2856" w:type="dxa"/>
          </w:tcPr>
          <w:p>
            <w:pPr/>
            <w:r>
              <w:t xml:space="preserve">Literature review</w:t>
            </w:r>
          </w:p>
        </w:tc>
        <w:tc>
          <w:tcPr>
            <w:tcW w:w="4328" w:type="dxa"/>
          </w:tcPr>
          <w:p>
            <w:pPr/>
            <w:r>
              <w:t xml:space="preserve">Critical comparison of existing controllers and methods in a table; where each falls short; the gap this project fills</w:t>
            </w:r>
          </w:p>
        </w:tc>
        <w:tc>
          <w:tcPr>
            <w:tcW w:w="2176" w:type="dxa"/>
          </w:tcPr>
          <w:p>
            <w:pPr/>
            <w:r>
              <w:t xml:space="preserve">Exposition: critical evaluation of literature</w:t>
            </w:r>
          </w:p>
        </w:tc>
      </w:tr>
      <w:tr>
        <w:tc>
          <w:tcPr>
            <w:tcW w:w="2856" w:type="dxa"/>
          </w:tcPr>
          <w:p>
            <w:pPr/>
            <w:r>
              <w:t xml:space="preserve">Requirements and design</w:t>
            </w:r>
          </w:p>
        </w:tc>
        <w:tc>
          <w:tcPr>
            <w:tcW w:w="4328" w:type="dxa"/>
          </w:tcPr>
          <w:p>
            <w:pPr/>
            <w:r>
              <w:t xml:space="preserve">Requirements list; architecture; design calculations; alternatives considered and why they were rejected</w:t>
            </w:r>
          </w:p>
        </w:tc>
        <w:tc>
          <w:tcPr>
            <w:tcW w:w="2176" w:type="dxa"/>
          </w:tcPr>
          <w:p>
            <w:pPr/>
            <w:r>
              <w:t xml:space="preserve">Practical realisation: requirements and architecture</w:t>
            </w:r>
          </w:p>
        </w:tc>
      </w:tr>
      <w:tr>
        <w:tc>
          <w:tcPr>
            <w:tcW w:w="2856" w:type="dxa"/>
          </w:tcPr>
          <w:p>
            <w:pPr/>
            <w:r>
              <w:t xml:space="preserve">Implementation</w:t>
            </w:r>
          </w:p>
        </w:tc>
        <w:tc>
          <w:tcPr>
            <w:tcW w:w="4328" w:type="dxa"/>
          </w:tcPr>
          <w:p>
            <w:pPr/>
            <w:r>
              <w:t xml:space="preserve">Hardware, firmware and software as built, including what changed between iterations and why</w:t>
            </w:r>
          </w:p>
        </w:tc>
        <w:tc>
          <w:tcPr>
            <w:tcW w:w="2176" w:type="dxa"/>
          </w:tcPr>
          <w:p>
            <w:pPr/>
            <w:r>
              <w:t xml:space="preserve">Practical realisation: implementation and iteration</w:t>
            </w:r>
          </w:p>
        </w:tc>
      </w:tr>
      <w:tr>
        <w:tc>
          <w:tcPr>
            <w:tcW w:w="2856" w:type="dxa"/>
          </w:tcPr>
          <w:p>
            <w:pPr/>
            <w:r>
              <w:t xml:space="preserve">Testing</w:t>
            </w:r>
          </w:p>
        </w:tc>
        <w:tc>
          <w:tcPr>
            <w:tcW w:w="4328" w:type="dxa"/>
          </w:tcPr>
          <w:p>
            <w:pPr/>
            <w:r>
              <w:t xml:space="preserve">T1–T8 results against each pass mark, in one table, with scope captures and photos</w:t>
            </w:r>
          </w:p>
        </w:tc>
        <w:tc>
          <w:tcPr>
            <w:tcW w:w="2176" w:type="dxa"/>
          </w:tcPr>
          <w:p>
            <w:pPr/>
            <w:r>
              <w:t xml:space="preserve">Practical realisation: testing</w:t>
            </w:r>
          </w:p>
        </w:tc>
      </w:tr>
      <w:tr>
        <w:tc>
          <w:tcPr>
            <w:tcW w:w="2856" w:type="dxa"/>
          </w:tcPr>
          <w:p>
            <w:pPr/>
            <w:r>
              <w:t xml:space="preserve">Evaluation</w:t>
            </w:r>
          </w:p>
        </w:tc>
        <w:tc>
          <w:tcPr>
            <w:tcW w:w="4328" w:type="dxa"/>
          </w:tcPr>
          <w:p>
            <w:pPr/>
            <w:r>
              <w:t xml:space="preserve">The five scenarios, effect sizes, Wilcoxon tests and confidence intervals; what the results mean, and their limits</w:t>
            </w:r>
          </w:p>
        </w:tc>
        <w:tc>
          <w:tcPr>
            <w:tcW w:w="2176" w:type="dxa"/>
          </w:tcPr>
          <w:p>
            <w:pPr/>
            <w:r>
              <w:t xml:space="preserve">Evaluation: significance of results, comparison with objectives</w:t>
            </w:r>
          </w:p>
        </w:tc>
      </w:tr>
      <w:tr>
        <w:tc>
          <w:tcPr>
            <w:tcW w:w="2856" w:type="dxa"/>
          </w:tcPr>
          <w:p>
            <w:pPr/>
            <w:r>
              <w:t xml:space="preserve">Reflection</w:t>
            </w:r>
          </w:p>
        </w:tc>
        <w:tc>
          <w:tcPr>
            <w:tcW w:w="4328" w:type="dxa"/>
          </w:tcPr>
          <w:p>
            <w:pPr/>
            <w:r>
              <w:t xml:space="preserve">Methods against alternatives (for example, MPC against reinforcement learning); project management, with the original vs actual Gantt; lessons learned; further work</w:t>
            </w:r>
          </w:p>
        </w:tc>
        <w:tc>
          <w:tcPr>
            <w:tcW w:w="2176" w:type="dxa"/>
          </w:tcPr>
          <w:p>
            <w:pPr/>
            <w:r>
              <w:t xml:space="preserve">Evaluation: merit of methods, lessons, further work</w:t>
            </w:r>
          </w:p>
        </w:tc>
      </w:tr>
      <w:tr>
        <w:tc>
          <w:tcPr>
            <w:tcW w:w="2856" w:type="dxa"/>
          </w:tcPr>
          <w:p>
            <w:pPr/>
            <w:r>
              <w:t xml:space="preserve">Professional issues</w:t>
            </w:r>
          </w:p>
        </w:tc>
        <w:tc>
          <w:tcPr>
            <w:tcW w:w="4328" w:type="dxa"/>
          </w:tcPr>
          <w:p>
            <w:pPr/>
            <w:r>
              <w:t xml:space="preserve">Ethics after implementation, inclusion, environmental impact, standards, commercial context</w:t>
            </w:r>
          </w:p>
        </w:tc>
        <w:tc>
          <w:tcPr>
            <w:tcW w:w="2176" w:type="dxa"/>
          </w:tcPr>
          <w:p>
            <w:pPr/>
            <w:r>
              <w:t xml:space="preserve">AHEP outcomes on ethics, inclusion and environment</w:t>
            </w:r>
          </w:p>
        </w:tc>
      </w:tr>
      <w:tr>
        <w:tc>
          <w:tcPr>
            <w:tcW w:w="2856" w:type="dxa"/>
          </w:tcPr>
          <w:p>
            <w:pPr/>
            <w:r>
              <w:t xml:space="preserve">References and annexe</w:t>
            </w:r>
          </w:p>
        </w:tc>
        <w:tc>
          <w:tcPr>
            <w:tcW w:w="4328" w:type="dxa"/>
          </w:tcPr>
          <w:p>
            <w:pPr/>
            <w:r>
              <w:t xml:space="preserve">Accurate IEEE references; schematics, PCB files and all code in the annexe</w:t>
            </w:r>
          </w:p>
        </w:tc>
        <w:tc>
          <w:tcPr>
            <w:tcW w:w="2176" w:type="dxa"/>
          </w:tcPr>
          <w:p>
            <w:pPr/>
            <w:r>
              <w:t xml:space="preserve">Exposition: accurate reference list; all code submitted</w:t>
            </w:r>
          </w:p>
        </w:tc>
      </w:tr>
    </w:tbl>
    <w:p>
      <w:pPr/>
      <w:r>
        <w:rPr>
          <w:b/>
        </w:rPr>
        <w:t xml:space="preserve">Three things that separate a 90 from a 70:</w:t>
      </w:r>
    </w:p>
    <w:p>
      <w:pPr>
        <w:pStyle w:val="ListParagraph"/>
        <w:numPr>
          <w:ilvl w:val="0"/>
          <w:numId w:val="3"/>
        </w:numPr>
      </w:pPr>
      <w:r>
        <w:rPr>
          <w:b/>
        </w:rPr>
        <w:t xml:space="preserve">Every claim has a number behind it.</w:t>
      </w:r>
      <w:r>
        <w:t xml:space="preserve"> For example, write "88% of the best possible saving (95% CI 84–91%)", not "performed well".</w:t>
      </w:r>
    </w:p>
    <w:p>
      <w:pPr>
        <w:pStyle w:val="ListParagraph"/>
        <w:numPr>
          <w:ilvl w:val="0"/>
          <w:numId w:val="3"/>
        </w:numPr>
      </w:pPr>
      <w:r>
        <w:rPr>
          <w:b/>
        </w:rPr>
        <w:t xml:space="preserve">Honest limitations, stated before the examiner finds them.</w:t>
      </w:r>
      <w:r>
        <w:t xml:space="preserve"> For example, the lead-acid battery's time scaling, or the gap between simulation and the rig.</w:t>
      </w:r>
    </w:p>
    <w:p>
      <w:pPr>
        <w:pStyle w:val="ListParagraph"/>
        <w:numPr>
          <w:ilvl w:val="0"/>
          <w:numId w:val="3"/>
        </w:numPr>
      </w:pPr>
      <w:r>
        <w:rPr>
          <w:b/>
        </w:rPr>
        <w:t xml:space="preserve">Alternatives weighed, not just the choice made.</w:t>
      </w:r>
      <w:r>
        <w:t xml:space="preserve"> Explain why LightGBM over an LSTM, why an electronic load over a resistor bank, why MPC over reinforcement learning.</w:t>
      </w:r>
    </w:p>
    <w:p>
      <w:pPr/>
      <w:r>
        <w:rPr>
          <w:b/>
        </w:rPr>
        <w:t xml:space="preserve">Usability</w:t>
      </w:r>
      <w:r>
        <w:t xml:space="preserve"> is part of the evaluation criteria. Testing the display with other people would involve human participants, so it needs ethics approval first. Ask Dr Shah early whether it is worth it, or evaluate usability against a published checklist yourself.</w:t>
      </w:r>
    </w:p>
    <w:p>
      <w:pPr>
        <w:pStyle w:val="Heading2"/>
      </w:pPr>
      <w:r>
        <w:t xml:space="preserve">Trade-off studies and traceability: where the complexity marks come from</w:t>
      </w:r>
    </w:p>
    <w:p>
      <w:pPr/>
      <w:r>
        <w:t xml:space="preserve">The complexity top band rewards "numerous design challenges ... optimised, such as throughput, bandwidth, cost, size". Five small, measured trade-off studies give the report exactly that evidence, and each one also justifies a design choice.</w:t>
      </w:r>
    </w:p>
    <w:tbl>
      <w:tblPr>
        <w:tblStyle w:val="TableGrid"/>
        <w:tblW w:w="0" w:type="auto"/>
        <w:tblLayout w:type="fixed"/>
        <w:tblLook w:val="04A0" w:firstRow="1" w:lastRow="0" w:firstColumn="0" w:lastColumn="0" w:noHBand="0" w:noVBand="1"/>
      </w:tblPr>
      <w:tblGrid>
        <w:gridCol w:w="1273"/>
        <w:gridCol w:w="2824"/>
        <w:gridCol w:w="2853"/>
        <w:gridCol w:w="2409"/>
      </w:tblGrid>
      <w:tr>
        <w:trPr>
          <w:tblHeader/>
        </w:trPr>
        <w:tc>
          <w:tcPr>
            <w:tcW w:w="1273" w:type="dxa"/>
            <w:shd w:val="clear" w:color="auto" w:fill="F2F2F2"/>
          </w:tcPr>
          <w:p>
            <w:pPr/>
            <w:r>
              <w:t xml:space="preserve">Study</w:t>
            </w:r>
          </w:p>
        </w:tc>
        <w:tc>
          <w:tcPr>
            <w:tcW w:w="2824" w:type="dxa"/>
            <w:shd w:val="clear" w:color="auto" w:fill="F2F2F2"/>
          </w:tcPr>
          <w:p>
            <w:pPr/>
            <w:r>
              <w:t xml:space="preserve">What varies</w:t>
            </w:r>
          </w:p>
        </w:tc>
        <w:tc>
          <w:tcPr>
            <w:tcW w:w="2853" w:type="dxa"/>
            <w:shd w:val="clear" w:color="auto" w:fill="F2F2F2"/>
          </w:tcPr>
          <w:p>
            <w:pPr/>
            <w:r>
              <w:t xml:space="preserve">What you measure</w:t>
            </w:r>
          </w:p>
        </w:tc>
        <w:tc>
          <w:tcPr>
            <w:tcW w:w="2409" w:type="dxa"/>
            <w:shd w:val="clear" w:color="auto" w:fill="F2F2F2"/>
          </w:tcPr>
          <w:p>
            <w:pPr/>
            <w:r>
              <w:t xml:space="preserve">Decision it settles</w:t>
            </w:r>
          </w:p>
        </w:tc>
      </w:tr>
      <w:tr>
        <w:tc>
          <w:tcPr>
            <w:tcW w:w="1273" w:type="dxa"/>
          </w:tcPr>
          <w:p>
            <w:pPr/>
            <w:r>
              <w:t xml:space="preserve">Shunt value</w:t>
            </w:r>
          </w:p>
        </w:tc>
        <w:tc>
          <w:tcPr>
            <w:tcW w:w="2824" w:type="dxa"/>
          </w:tcPr>
          <w:p>
            <w:pPr/>
            <w:r>
              <w:t xml:space="preserve">10, 20 and 50 mΩ</w:t>
            </w:r>
          </w:p>
        </w:tc>
        <w:tc>
          <w:tcPr>
            <w:tcW w:w="2853" w:type="dxa"/>
          </w:tcPr>
          <w:p>
            <w:pPr/>
            <w:r>
              <w:t xml:space="preserve">Error at 50 mA and 3 A; power lost in the shunt</w:t>
            </w:r>
          </w:p>
        </w:tc>
        <w:tc>
          <w:tcPr>
            <w:tcW w:w="2409" w:type="dxa"/>
          </w:tcPr>
          <w:p>
            <w:pPr/>
            <w:r>
              <w:t xml:space="preserve">Shunt on the sensing PCB</w:t>
            </w:r>
          </w:p>
        </w:tc>
      </w:tr>
      <w:tr>
        <w:tc>
          <w:tcPr>
            <w:tcW w:w="1273" w:type="dxa"/>
          </w:tcPr>
          <w:p>
            <w:pPr/>
            <w:r>
              <w:t xml:space="preserve">Base-load emulation</w:t>
            </w:r>
          </w:p>
        </w:tc>
        <w:tc>
          <w:tcPr>
            <w:tcW w:w="2824" w:type="dxa"/>
          </w:tcPr>
          <w:p>
            <w:pPr/>
            <w:r>
              <w:t xml:space="preserve">16-step resistor bank against the electronic load</w:t>
            </w:r>
          </w:p>
        </w:tc>
        <w:tc>
          <w:tcPr>
            <w:tcW w:w="2853" w:type="dxa"/>
          </w:tcPr>
          <w:p>
            <w:pPr/>
            <w:r>
              <w:t xml:space="preserve">Error replaying a REFIT day; cost; parts count</w:t>
            </w:r>
          </w:p>
        </w:tc>
        <w:tc>
          <w:tcPr>
            <w:tcW w:w="2409" w:type="dxa"/>
          </w:tcPr>
          <w:p>
            <w:pPr/>
            <w:r>
              <w:t xml:space="preserve">Why the electronic load (O3)</w:t>
            </w:r>
          </w:p>
        </w:tc>
      </w:tr>
      <w:tr>
        <w:tc>
          <w:tcPr>
            <w:tcW w:w="1273" w:type="dxa"/>
          </w:tcPr>
          <w:p>
            <w:pPr/>
            <w:r>
              <w:t xml:space="preserve">Planner resolution</w:t>
            </w:r>
          </w:p>
        </w:tc>
        <w:tc>
          <w:tcPr>
            <w:tcW w:w="2824" w:type="dxa"/>
          </w:tcPr>
          <w:p>
            <w:pPr/>
            <w:r>
              <w:t xml:space="preserve">11, 21 and 41 battery levels; 30- and 60-minute steps</w:t>
            </w:r>
          </w:p>
        </w:tc>
        <w:tc>
          <w:tcPr>
            <w:tcW w:w="2853" w:type="dxa"/>
          </w:tcPr>
          <w:p>
            <w:pPr/>
            <w:r>
              <w:t xml:space="preserve">Share of the best saving; re-plan time; memory on the ESP32</w:t>
            </w:r>
          </w:p>
        </w:tc>
        <w:tc>
          <w:tcPr>
            <w:tcW w:w="2409" w:type="dxa"/>
          </w:tcPr>
          <w:p>
            <w:pPr/>
            <w:r>
              <w:t xml:space="preserve">O6 settings</w:t>
            </w:r>
          </w:p>
        </w:tc>
      </w:tr>
      <w:tr>
        <w:tc>
          <w:tcPr>
            <w:tcW w:w="1273" w:type="dxa"/>
          </w:tcPr>
          <w:p>
            <w:pPr/>
            <w:r>
              <w:t xml:space="preserve">Re-plan frequency</w:t>
            </w:r>
          </w:p>
        </w:tc>
        <w:tc>
          <w:tcPr>
            <w:tcW w:w="2824" w:type="dxa"/>
          </w:tcPr>
          <w:p>
            <w:pPr/>
            <w:r>
              <w:t xml:space="preserve">Every slot, every 2 slots, every 4 slots, once a day</w:t>
            </w:r>
          </w:p>
        </w:tc>
        <w:tc>
          <w:tcPr>
            <w:tcW w:w="2853" w:type="dxa"/>
          </w:tcPr>
          <w:p>
            <w:pPr/>
            <w:r>
              <w:t xml:space="preserve">Share of the best saving in each scenario</w:t>
            </w:r>
          </w:p>
        </w:tc>
        <w:tc>
          <w:tcPr>
            <w:tcW w:w="2409" w:type="dxa"/>
          </w:tcPr>
          <w:p>
            <w:pPr/>
            <w:r>
              <w:t xml:space="preserve">The core claim: the value of closing the loop, as a curve rather than one number</w:t>
            </w:r>
          </w:p>
        </w:tc>
      </w:tr>
      <w:tr>
        <w:tc>
          <w:tcPr>
            <w:tcW w:w="1273" w:type="dxa"/>
          </w:tcPr>
          <w:p>
            <w:pPr/>
            <w:r>
              <w:t xml:space="preserve">Forecast value</w:t>
            </w:r>
          </w:p>
        </w:tc>
        <w:tc>
          <w:tcPr>
            <w:tcW w:w="2824" w:type="dxa"/>
          </w:tcPr>
          <w:p>
            <w:pPr/>
            <w:r>
              <w:t xml:space="preserve">Published prices, LightGBM, simple baseline (scenario S3)</w:t>
            </w:r>
          </w:p>
        </w:tc>
        <w:tc>
          <w:tcPr>
            <w:tcW w:w="2853" w:type="dxa"/>
          </w:tcPr>
          <w:p>
            <w:pPr/>
            <w:r>
              <w:t xml:space="preserve">Pounds lost to forecast error</w:t>
            </w:r>
          </w:p>
        </w:tc>
        <w:tc>
          <w:tcPr>
            <w:tcW w:w="2409" w:type="dxa"/>
          </w:tcPr>
          <w:p>
            <w:pPr/>
            <w:r>
              <w:t xml:space="preserve">Whether the forecaster earns its place</w:t>
            </w:r>
          </w:p>
        </w:tc>
      </w:tr>
    </w:tbl>
    <w:p>
      <w:pPr/>
      <w:r>
        <w:rPr>
          <w:b/>
        </w:rPr>
        <w:t xml:space="preserve">Traceability.</w:t>
      </w:r>
      <w:r>
        <w:t xml:space="preserve"> Write the requirements as R1–R25, and keep one table that links every requirement to an objective, a test and a result, for example:</w:t>
      </w:r>
    </w:p>
    <w:tbl>
      <w:tblPr>
        <w:tblStyle w:val="TableGrid"/>
        <w:tblW w:w="0" w:type="auto"/>
        <w:tblLayout w:type="fixed"/>
        <w:tblLook w:val="04A0" w:firstRow="1" w:lastRow="0" w:firstColumn="0" w:lastColumn="0" w:noHBand="0" w:noVBand="1"/>
      </w:tblPr>
      <w:tblGrid>
        <w:gridCol w:w="5863"/>
        <w:gridCol w:w="1459"/>
        <w:gridCol w:w="858"/>
        <w:gridCol w:w="1178"/>
      </w:tblGrid>
      <w:tr>
        <w:trPr>
          <w:tblHeader/>
        </w:trPr>
        <w:tc>
          <w:tcPr>
            <w:tcW w:w="5863" w:type="dxa"/>
            <w:shd w:val="clear" w:color="auto" w:fill="F2F2F2"/>
          </w:tcPr>
          <w:p>
            <w:pPr/>
            <w:r>
              <w:t xml:space="preserve">Requirement</w:t>
            </w:r>
          </w:p>
        </w:tc>
        <w:tc>
          <w:tcPr>
            <w:tcW w:w="1459" w:type="dxa"/>
            <w:shd w:val="clear" w:color="auto" w:fill="F2F2F2"/>
          </w:tcPr>
          <w:p>
            <w:pPr/>
            <w:r>
              <w:t xml:space="preserve">Objective</w:t>
            </w:r>
          </w:p>
        </w:tc>
        <w:tc>
          <w:tcPr>
            <w:tcW w:w="858" w:type="dxa"/>
            <w:shd w:val="clear" w:color="auto" w:fill="F2F2F2"/>
          </w:tcPr>
          <w:p>
            <w:pPr/>
            <w:r>
              <w:t xml:space="preserve">Test</w:t>
            </w:r>
          </w:p>
        </w:tc>
        <w:tc>
          <w:tcPr>
            <w:tcW w:w="1178" w:type="dxa"/>
            <w:shd w:val="clear" w:color="auto" w:fill="F2F2F2"/>
          </w:tcPr>
          <w:p>
            <w:pPr/>
            <w:r>
              <w:t xml:space="preserve">Result</w:t>
            </w:r>
          </w:p>
        </w:tc>
      </w:tr>
      <w:tr>
        <w:tc>
          <w:tcPr>
            <w:tcW w:w="5863" w:type="dxa"/>
          </w:tcPr>
          <w:p>
            <w:pPr/>
            <w:r>
              <w:t xml:space="preserve">R4: measure grid, battery and load power every 100 ms</w:t>
            </w:r>
          </w:p>
        </w:tc>
        <w:tc>
          <w:tcPr>
            <w:tcW w:w="1459" w:type="dxa"/>
          </w:tcPr>
          <w:p>
            <w:pPr/>
            <w:r>
              <w:t xml:space="preserve">O2</w:t>
            </w:r>
          </w:p>
        </w:tc>
        <w:tc>
          <w:tcPr>
            <w:tcW w:w="858" w:type="dxa"/>
          </w:tcPr>
          <w:p>
            <w:pPr/>
            <w:r>
              <w:t xml:space="preserve">T2</w:t>
            </w:r>
          </w:p>
        </w:tc>
        <w:tc>
          <w:tcPr>
            <w:tcW w:w="1178" w:type="dxa"/>
          </w:tcPr>
          <w:p>
            <w:pPr/>
            <w:r>
              <w:t xml:space="preserve">(fill in)</w:t>
            </w:r>
          </w:p>
        </w:tc>
      </w:tr>
      <w:tr>
        <w:tc>
          <w:tcPr>
            <w:tcW w:w="5863" w:type="dxa"/>
          </w:tcPr>
          <w:p>
            <w:pPr/>
            <w:r>
              <w:t xml:space="preserve">R9: replay base load within ±2% of set-point</w:t>
            </w:r>
          </w:p>
        </w:tc>
        <w:tc>
          <w:tcPr>
            <w:tcW w:w="1459" w:type="dxa"/>
          </w:tcPr>
          <w:p>
            <w:pPr/>
            <w:r>
              <w:t xml:space="preserve">O3</w:t>
            </w:r>
          </w:p>
        </w:tc>
        <w:tc>
          <w:tcPr>
            <w:tcW w:w="858" w:type="dxa"/>
          </w:tcPr>
          <w:p>
            <w:pPr/>
            <w:r>
              <w:t xml:space="preserve">T3</w:t>
            </w:r>
          </w:p>
        </w:tc>
        <w:tc>
          <w:tcPr>
            <w:tcW w:w="1178" w:type="dxa"/>
          </w:tcPr>
          <w:p>
            <w:pPr/>
            <w:r>
              <w:t xml:space="preserve">(fill in)</w:t>
            </w:r>
          </w:p>
        </w:tc>
      </w:tr>
      <w:tr>
        <w:tc>
          <w:tcPr>
            <w:tcW w:w="5863" w:type="dxa"/>
          </w:tcPr>
          <w:p>
            <w:pPr/>
            <w:r>
              <w:t xml:space="preserve">R12: cut every load within 100 µs above 3 A</w:t>
            </w:r>
          </w:p>
        </w:tc>
        <w:tc>
          <w:tcPr>
            <w:tcW w:w="1459" w:type="dxa"/>
          </w:tcPr>
          <w:p>
            <w:pPr/>
            <w:r>
              <w:t xml:space="preserve">O4</w:t>
            </w:r>
          </w:p>
        </w:tc>
        <w:tc>
          <w:tcPr>
            <w:tcW w:w="858" w:type="dxa"/>
          </w:tcPr>
          <w:p>
            <w:pPr/>
            <w:r>
              <w:t xml:space="preserve">T4</w:t>
            </w:r>
          </w:p>
        </w:tc>
        <w:tc>
          <w:tcPr>
            <w:tcW w:w="1178" w:type="dxa"/>
          </w:tcPr>
          <w:p>
            <w:pPr/>
            <w:r>
              <w:t xml:space="preserve">(fill in)</w:t>
            </w:r>
          </w:p>
        </w:tc>
      </w:tr>
      <w:tr>
        <w:tc>
          <w:tcPr>
            <w:tcW w:w="5863" w:type="dxa"/>
          </w:tcPr>
          <w:p>
            <w:pPr/>
            <w:r>
              <w:t xml:space="preserve">R17: re-plan in under 1 s using under 100 KB</w:t>
            </w:r>
          </w:p>
        </w:tc>
        <w:tc>
          <w:tcPr>
            <w:tcW w:w="1459" w:type="dxa"/>
          </w:tcPr>
          <w:p>
            <w:pPr/>
            <w:r>
              <w:t xml:space="preserve">O6</w:t>
            </w:r>
          </w:p>
        </w:tc>
        <w:tc>
          <w:tcPr>
            <w:tcW w:w="858" w:type="dxa"/>
          </w:tcPr>
          <w:p>
            <w:pPr/>
            <w:r>
              <w:t xml:space="preserve">T6</w:t>
            </w:r>
          </w:p>
        </w:tc>
        <w:tc>
          <w:tcPr>
            <w:tcW w:w="1178" w:type="dxa"/>
          </w:tcPr>
          <w:p>
            <w:pPr/>
            <w:r>
              <w:t xml:space="preserve">(fill in)</w:t>
            </w:r>
          </w:p>
        </w:tc>
      </w:tr>
      <w:tr>
        <w:tc>
          <w:tcPr>
            <w:tcW w:w="5863" w:type="dxa"/>
          </w:tcPr>
          <w:p>
            <w:pPr/>
            <w:r>
              <w:t xml:space="preserve">R23: beat plan-once in scenarios S1–S3 (p &lt; 0.05)</w:t>
            </w:r>
          </w:p>
        </w:tc>
        <w:tc>
          <w:tcPr>
            <w:tcW w:w="1459" w:type="dxa"/>
          </w:tcPr>
          <w:p>
            <w:pPr/>
            <w:r>
              <w:t xml:space="preserve">O8</w:t>
            </w:r>
          </w:p>
        </w:tc>
        <w:tc>
          <w:tcPr>
            <w:tcW w:w="858" w:type="dxa"/>
          </w:tcPr>
          <w:p>
            <w:pPr/>
            <w:r>
              <w:t xml:space="preserve">T8</w:t>
            </w:r>
          </w:p>
        </w:tc>
        <w:tc>
          <w:tcPr>
            <w:tcW w:w="1178" w:type="dxa"/>
          </w:tcPr>
          <w:p>
            <w:pPr/>
            <w:r>
              <w:t xml:space="preserve">(fill in)</w:t>
            </w:r>
          </w:p>
        </w:tc>
      </w:tr>
    </w:tbl>
    <w:p>
      <w:pPr/>
      <w:r>
        <w:t xml:space="preserve">A filled traceability table in the report is the quickest way to show an assessor that nothing was missed.</w:t>
      </w:r>
    </w:p>
    <w:p>
      <w:pPr>
        <w:pStyle w:val="Heading2"/>
      </w:pPr>
      <w:r>
        <w:t xml:space="preserve">Literature review method</w:t>
      </w:r>
    </w:p>
    <w:p>
      <w:pPr/>
      <w:r>
        <w:t xml:space="preserve">The review targets 30–40 sources, a 3,000-word draft by 18 December, and a gap that the novelty claim rests on. The missing review cost marks in scope and novelty, and the mid-term requires one.</w:t>
      </w:r>
    </w:p>
    <w:p>
      <w:pPr/>
      <w:r>
        <w:rPr>
          <w:b/>
        </w:rPr>
        <w:t xml:space="preserve">Where to search:</w:t>
      </w:r>
      <w:r>
        <w:t xml:space="preserve"> the Aston library search, IEEE Xplore, ScienceDirect and Google Scholar; datasheets and standards for the hardware.</w:t>
      </w:r>
    </w:p>
    <w:p>
      <w:pPr/>
      <w:r>
        <w:rPr>
          <w:b/>
        </w:rPr>
        <w:t xml:space="preserve">Search strings to start with:</w:t>
      </w:r>
    </w:p>
    <w:p>
      <w:pPr>
        <w:pStyle w:val="ListParagraph"/>
        <w:numPr>
          <w:ilvl w:val="0"/>
          <w:numId w:val="4"/>
        </w:numPr>
      </w:pPr>
      <w:r>
        <w:t xml:space="preserve">"home energy management system" AND "model predictive control"</w:t>
      </w:r>
    </w:p>
    <w:p>
      <w:pPr>
        <w:pStyle w:val="ListParagraph"/>
        <w:numPr>
          <w:ilvl w:val="0"/>
          <w:numId w:val="4"/>
        </w:numPr>
      </w:pPr>
      <w:r>
        <w:t xml:space="preserve">"household load scheduling" AND ("time-of-use" OR "dynamic pricing")</w:t>
      </w:r>
    </w:p>
    <w:p>
      <w:pPr>
        <w:pStyle w:val="ListParagraph"/>
        <w:numPr>
          <w:ilvl w:val="0"/>
          <w:numId w:val="4"/>
        </w:numPr>
      </w:pPr>
      <w:r>
        <w:t xml:space="preserve">"electricity price forecasting" AND ("gradient boosting" OR LightGBM)</w:t>
      </w:r>
    </w:p>
    <w:p>
      <w:pPr>
        <w:pStyle w:val="ListParagraph"/>
        <w:numPr>
          <w:ilvl w:val="0"/>
          <w:numId w:val="4"/>
        </w:numPr>
      </w:pPr>
      <w:r>
        <w:t xml:space="preserve">"hardware-in-the-loop" AND "home energy"</w:t>
      </w:r>
    </w:p>
    <w:p>
      <w:pPr>
        <w:pStyle w:val="ListParagraph"/>
        <w:numPr>
          <w:ilvl w:val="0"/>
          <w:numId w:val="4"/>
        </w:numPr>
      </w:pPr>
      <w:r>
        <w:t xml:space="preserve">"battery scheduling" AND "dynamic programming"</w:t>
      </w:r>
    </w:p>
    <w:p>
      <w:pPr>
        <w:pStyle w:val="ListParagraph"/>
        <w:numPr>
          <w:ilvl w:val="0"/>
          <w:numId w:val="4"/>
        </w:numPr>
      </w:pPr>
      <w:r>
        <w:t xml:space="preserve">"electronic load" AND "constant current" AND design</w:t>
      </w:r>
    </w:p>
    <w:tbl>
      <w:tblPr>
        <w:tblStyle w:val="TableGrid"/>
        <w:tblW w:w="0" w:type="auto"/>
        <w:tblLayout w:type="fixed"/>
        <w:tblLook w:val="04A0" w:firstRow="1" w:lastRow="0" w:firstColumn="0" w:lastColumn="0" w:noHBand="0" w:noVBand="1"/>
      </w:tblPr>
      <w:tblGrid>
        <w:gridCol w:w="3746"/>
        <w:gridCol w:w="1067"/>
        <w:gridCol w:w="4546"/>
      </w:tblGrid>
      <w:tr>
        <w:trPr>
          <w:tblHeader/>
        </w:trPr>
        <w:tc>
          <w:tcPr>
            <w:tcW w:w="3746" w:type="dxa"/>
            <w:shd w:val="clear" w:color="auto" w:fill="F2F2F2"/>
          </w:tcPr>
          <w:p>
            <w:pPr/>
            <w:r>
              <w:t xml:space="preserve">Section</w:t>
            </w:r>
          </w:p>
        </w:tc>
        <w:tc>
          <w:tcPr>
            <w:tcW w:w="1067" w:type="dxa"/>
            <w:shd w:val="clear" w:color="auto" w:fill="F2F2F2"/>
          </w:tcPr>
          <w:p>
            <w:pPr/>
            <w:r>
              <w:t xml:space="preserve">Sources</w:t>
            </w:r>
          </w:p>
        </w:tc>
        <w:tc>
          <w:tcPr>
            <w:tcW w:w="4546" w:type="dxa"/>
            <w:shd w:val="clear" w:color="auto" w:fill="F2F2F2"/>
          </w:tcPr>
          <w:p>
            <w:pPr/>
            <w:r>
              <w:t xml:space="preserve">The question it answers</w:t>
            </w:r>
          </w:p>
        </w:tc>
      </w:tr>
      <w:tr>
        <w:tc>
          <w:tcPr>
            <w:tcW w:w="3746" w:type="dxa"/>
          </w:tcPr>
          <w:p>
            <w:pPr/>
            <w:r>
              <w:t xml:space="preserve">Home energy management and scheduling</w:t>
            </w:r>
          </w:p>
        </w:tc>
        <w:tc>
          <w:tcPr>
            <w:tcW w:w="1067" w:type="dxa"/>
          </w:tcPr>
          <w:p>
            <w:pPr/>
            <w:r>
              <w:t xml:space="preserve">10</w:t>
            </w:r>
          </w:p>
        </w:tc>
        <w:tc>
          <w:tcPr>
            <w:tcW w:w="4546" w:type="dxa"/>
          </w:tcPr>
          <w:p>
            <w:pPr/>
            <w:r>
              <w:t xml:space="preserve">What exists, and how is it evaluated?</w:t>
            </w:r>
          </w:p>
        </w:tc>
      </w:tr>
      <w:tr>
        <w:tc>
          <w:tcPr>
            <w:tcW w:w="3746" w:type="dxa"/>
          </w:tcPr>
          <w:p>
            <w:pPr/>
            <w:r>
              <w:t xml:space="preserve">Closed-loop control under uncertainty (MPC)</w:t>
            </w:r>
          </w:p>
        </w:tc>
        <w:tc>
          <w:tcPr>
            <w:tcW w:w="1067" w:type="dxa"/>
          </w:tcPr>
          <w:p>
            <w:pPr/>
            <w:r>
              <w:t xml:space="preserve">6</w:t>
            </w:r>
          </w:p>
        </w:tc>
        <w:tc>
          <w:tcPr>
            <w:tcW w:w="4546" w:type="dxa"/>
          </w:tcPr>
          <w:p>
            <w:pPr/>
            <w:r>
              <w:t xml:space="preserve">Does re-planning beat planning once, and by how much?</w:t>
            </w:r>
          </w:p>
        </w:tc>
      </w:tr>
      <w:tr>
        <w:tc>
          <w:tcPr>
            <w:tcW w:w="3746" w:type="dxa"/>
          </w:tcPr>
          <w:p>
            <w:pPr/>
            <w:r>
              <w:t xml:space="preserve">Price forecasting</w:t>
            </w:r>
          </w:p>
        </w:tc>
        <w:tc>
          <w:tcPr>
            <w:tcW w:w="1067" w:type="dxa"/>
          </w:tcPr>
          <w:p>
            <w:pPr/>
            <w:r>
              <w:t xml:space="preserve">6</w:t>
            </w:r>
          </w:p>
        </w:tc>
        <w:tc>
          <w:tcPr>
            <w:tcW w:w="4546" w:type="dxa"/>
          </w:tcPr>
          <w:p>
            <w:pPr/>
            <w:r>
              <w:t xml:space="preserve">Which methods work for day-ahead prices?</w:t>
            </w:r>
          </w:p>
        </w:tc>
      </w:tr>
      <w:tr>
        <w:tc>
          <w:tcPr>
            <w:tcW w:w="3746" w:type="dxa"/>
          </w:tcPr>
          <w:p>
            <w:pPr/>
            <w:r>
              <w:t xml:space="preserve">Testbeds and hardware-in-the-loop</w:t>
            </w:r>
          </w:p>
        </w:tc>
        <w:tc>
          <w:tcPr>
            <w:tcW w:w="1067" w:type="dxa"/>
          </w:tcPr>
          <w:p>
            <w:pPr/>
            <w:r>
              <w:t xml:space="preserve">5</w:t>
            </w:r>
          </w:p>
        </w:tc>
        <w:tc>
          <w:tcPr>
            <w:tcW w:w="4546" w:type="dxa"/>
          </w:tcPr>
          <w:p>
            <w:pPr/>
            <w:r>
              <w:t xml:space="preserve">How are controllers validated on hardware?</w:t>
            </w:r>
          </w:p>
        </w:tc>
      </w:tr>
      <w:tr>
        <w:tc>
          <w:tcPr>
            <w:tcW w:w="3746" w:type="dxa"/>
          </w:tcPr>
          <w:p>
            <w:pPr/>
            <w:r>
              <w:t xml:space="preserve">Optimisation on microcontrollers</w:t>
            </w:r>
          </w:p>
        </w:tc>
        <w:tc>
          <w:tcPr>
            <w:tcW w:w="1067" w:type="dxa"/>
          </w:tcPr>
          <w:p>
            <w:pPr/>
            <w:r>
              <w:t xml:space="preserve">4</w:t>
            </w:r>
          </w:p>
        </w:tc>
        <w:tc>
          <w:tcPr>
            <w:tcW w:w="4546" w:type="dxa"/>
          </w:tcPr>
          <w:p>
            <w:pPr/>
            <w:r>
              <w:t xml:space="preserve">What fits in under 1 s and 100 KB?</w:t>
            </w:r>
          </w:p>
        </w:tc>
      </w:tr>
      <w:tr>
        <w:tc>
          <w:tcPr>
            <w:tcW w:w="3746" w:type="dxa"/>
          </w:tcPr>
          <w:p>
            <w:pPr/>
            <w:r>
              <w:t xml:space="preserve">Datasets, standards and the UK market</w:t>
            </w:r>
          </w:p>
        </w:tc>
        <w:tc>
          <w:tcPr>
            <w:tcW w:w="1067" w:type="dxa"/>
          </w:tcPr>
          <w:p>
            <w:pPr/>
            <w:r>
              <w:t xml:space="preserve">4</w:t>
            </w:r>
          </w:p>
        </w:tc>
        <w:tc>
          <w:tcPr>
            <w:tcW w:w="4546" w:type="dxa"/>
          </w:tcPr>
          <w:p>
            <w:pPr/>
            <w:r>
              <w:t xml:space="preserve">What data and rules apply?</w:t>
            </w:r>
          </w:p>
        </w:tc>
      </w:tr>
    </w:tbl>
    <w:p>
      <w:pPr/>
      <w:r>
        <w:rPr>
          <w:b/>
        </w:rPr>
        <w:t xml:space="preserve">The comparison table that shows the gap.</w:t>
      </w:r>
      <w:r>
        <w:t xml:space="preserve"> One row per key paper, with columns for method, closed-loop (yes/no), validated on hardware (yes/no), scored against the optimum (yes/no) and cost. The gap is the combination no row has: closed-loop correction on low-cost hardware, scored as a share of the hindsight optimum under deliberate faults.</w:t>
      </w:r>
    </w:p>
    <w:p>
      <w:pPr/>
      <w:r>
        <w:rPr>
          <w:b/>
        </w:rPr>
        <w:t xml:space="preserve">For each source, one logbook line:</w:t>
      </w:r>
      <w:r>
        <w:t xml:space="preserve"> what it claims, how it was shown, its main limitation, and how it affects this project. That line is what turns a summary into a critical review.</w:t>
      </w:r>
    </w:p>
    <w:p>
      <w:pPr/>
      <w:r>
        <w:rPr>
          <w:b/>
        </w:rPr>
        <w:t xml:space="preserve">Targets:</w:t>
      </w:r>
      <w:r>
        <w:t xml:space="preserve"> 15 sources by week 3, 30 by week 6, draft chapter to Dr Shah by 18 December. Keep references in Zotero, in IEEE style.</w:t>
      </w:r>
    </w:p>
    <w:p>
      <w:pPr>
        <w:pStyle w:val="Heading2"/>
      </w:pPr>
      <w:r>
        <w:t xml:space="preserve">Habits that produce the evidence</w:t>
      </w:r>
    </w:p>
    <w:p>
      <w:pPr/>
      <w:r>
        <w:t xml:space="preserve">The mid-term and the final marks are given on evidence, and these habits create it as a side effect of doing the work.</w:t>
      </w:r>
    </w:p>
    <w:p>
      <w:pPr>
        <w:pStyle w:val="ListParagraph"/>
        <w:numPr>
          <w:ilvl w:val="0"/>
          <w:numId w:val="5"/>
        </w:numPr>
      </w:pPr>
      <w:r>
        <w:rPr>
          <w:b/>
        </w:rPr>
        <w:t xml:space="preserve">Logbook (hardback, required):</w:t>
      </w:r>
      <w:r>
        <w:t xml:space="preserve"> an entry every working session with what you tried, the results, sketches and decisions; signed and dated by a member of staff at every meeting.</w:t>
      </w:r>
    </w:p>
    <w:p>
      <w:pPr>
        <w:pStyle w:val="ListParagraph"/>
        <w:numPr>
          <w:ilvl w:val="0"/>
          <w:numId w:val="5"/>
        </w:numPr>
      </w:pPr>
      <w:r>
        <w:rPr>
          <w:b/>
        </w:rPr>
        <w:t xml:space="preserve">Supervisor meetings:</w:t>
      </w:r>
      <w:r>
        <w:t xml:space="preserve"> weekly in TP2, at least fortnightly now. Send an agenda the day before; email minutes within 24 hours; paste them into the logbook.</w:t>
      </w:r>
    </w:p>
    <w:p>
      <w:pPr>
        <w:pStyle w:val="ListParagraph"/>
        <w:numPr>
          <w:ilvl w:val="0"/>
          <w:numId w:val="5"/>
        </w:numPr>
      </w:pPr>
      <w:r>
        <w:rPr>
          <w:b/>
        </w:rPr>
        <w:t xml:space="preserve">Baseline Gantt:</w:t>
      </w:r>
      <w:r>
        <w:t xml:space="preserve"> keep the original and update an "actual" copy every Friday. The mid-term requires both, with slippage explained.</w:t>
      </w:r>
    </w:p>
    <w:p>
      <w:pPr>
        <w:pStyle w:val="ListParagraph"/>
        <w:numPr>
          <w:ilvl w:val="0"/>
          <w:numId w:val="5"/>
        </w:numPr>
      </w:pPr>
      <w:r>
        <w:rPr>
          <w:b/>
        </w:rPr>
        <w:t xml:space="preserve">Risk register:</w:t>
      </w:r>
      <w:r>
        <w:t xml:space="preserve"> reviewed every fortnight; each change dated and noted in the logbook.</w:t>
      </w:r>
    </w:p>
    <w:p>
      <w:pPr>
        <w:pStyle w:val="ListParagraph"/>
        <w:numPr>
          <w:ilvl w:val="0"/>
          <w:numId w:val="5"/>
        </w:numPr>
      </w:pPr>
      <w:r>
        <w:rPr>
          <w:b/>
        </w:rPr>
        <w:t xml:space="preserve">Test records:</w:t>
      </w:r>
      <w:r>
        <w:t xml:space="preserve"> a dated entry for every test (T1–T8): setup photo, equipment, raw data file, result against the pass mark.</w:t>
      </w:r>
    </w:p>
    <w:p>
      <w:pPr>
        <w:pStyle w:val="ListParagraph"/>
        <w:numPr>
          <w:ilvl w:val="0"/>
          <w:numId w:val="5"/>
        </w:numPr>
      </w:pPr>
      <w:r>
        <w:rPr>
          <w:b/>
        </w:rPr>
        <w:t xml:space="preserve">Git:</w:t>
      </w:r>
      <w:r>
        <w:t xml:space="preserve"> commit daily; tag each milestone (for example, </w:t>
      </w:r>
      <w:r>
        <w:rPr>
          <w:rStyle w:val="CodeChar"/>
        </w:rPr>
        <w:t xml:space="preserve">O2-sensing-pcb-pass</w:t>
      </w:r>
      <w:r>
        <w:t xml:space="preserve">); the repository becomes the code annexe.</w:t>
      </w:r>
    </w:p>
    <w:p>
      <w:pPr>
        <w:pStyle w:val="ListParagraph"/>
        <w:numPr>
          <w:ilvl w:val="0"/>
          <w:numId w:val="5"/>
        </w:numPr>
      </w:pPr>
      <w:r>
        <w:rPr>
          <w:b/>
        </w:rPr>
        <w:t xml:space="preserve">Decision log:</w:t>
      </w:r>
      <w:r>
        <w:t xml:space="preserve"> one line per design choice, with the alternatives and why; it feeds the reflection chapter.</w:t>
      </w:r>
    </w:p>
    <w:p>
      <w:pPr>
        <w:pStyle w:val="ListParagraph"/>
        <w:numPr>
          <w:ilvl w:val="0"/>
          <w:numId w:val="5"/>
        </w:numPr>
      </w:pPr>
      <w:r>
        <w:rPr>
          <w:b/>
        </w:rPr>
        <w:t xml:space="preserve">Backups:</w:t>
      </w:r>
      <w:r>
        <w:t xml:space="preserve"> a remote Git repository plus a weekly cloud copy, as the handbook requires.</w:t>
      </w:r>
    </w:p>
    <w:p>
      <w:pPr>
        <w:pStyle w:val="Heading2"/>
      </w:pPr>
      <w:r>
        <w:t xml:space="preserve">The next 14 days</w:t>
      </w:r>
    </w:p>
    <w:p>
      <w:pPr/>
      <w:r>
        <w:t xml:space="preserve">These turn the progress score from "minimum required" into "actively working" before the next supervisor meeting.</w:t>
      </w:r>
    </w:p>
    <w:p>
      <w:pPr>
        <w:pStyle w:val="ListParagraph"/>
        <w:numPr>
          <w:ilvl w:val="0"/>
          <w:numId w:val="6"/>
        </w:numPr>
      </w:pPr>
      <w:r>
        <w:t xml:space="preserve">☐ Ask for the proposal marking feedback in person and note it in the logbook</w:t>
      </w:r>
    </w:p>
    <w:p>
      <w:pPr>
        <w:pStyle w:val="ListParagraph"/>
        <w:numPr>
          <w:ilvl w:val="0"/>
          <w:numId w:val="6"/>
        </w:numPr>
      </w:pPr>
      <w:r>
        <w:t xml:space="preserve">☐ Find the module weightings and the mid-term and final marking forms on Blackboard</w:t>
      </w:r>
    </w:p>
    <w:p>
      <w:pPr>
        <w:pStyle w:val="ListParagraph"/>
        <w:numPr>
          <w:ilvl w:val="0"/>
          <w:numId w:val="6"/>
        </w:numPr>
      </w:pPr>
      <w:r>
        <w:t xml:space="preserve">☐ Book a meeting with Dr Shah; take the v5 deck and this plan; ask what "hardware implementation" needs, and whether the electronic load design is right</w:t>
      </w:r>
    </w:p>
    <w:p>
      <w:pPr>
        <w:pStyle w:val="ListParagraph"/>
        <w:numPr>
          <w:ilvl w:val="0"/>
          <w:numId w:val="6"/>
        </w:numPr>
      </w:pPr>
      <w:r>
        <w:t xml:space="preserve">☐ Confirm the Blackboard forms (ethics, risk assessment, PESTLE) are signed and uploaded</w:t>
      </w:r>
    </w:p>
    <w:p>
      <w:pPr>
        <w:pStyle w:val="ListParagraph"/>
        <w:numPr>
          <w:ilvl w:val="0"/>
          <w:numId w:val="6"/>
        </w:numPr>
      </w:pPr>
      <w:r>
        <w:t xml:space="preserve">☐ Start the hardback logbook; back-fill entries since 7 October from emails and documents</w:t>
      </w:r>
    </w:p>
    <w:p>
      <w:pPr>
        <w:pStyle w:val="ListParagraph"/>
        <w:numPr>
          <w:ilvl w:val="0"/>
          <w:numId w:val="6"/>
        </w:numPr>
      </w:pPr>
      <w:r>
        <w:t xml:space="preserve">☐ Ask the technician about ESP32-S3 stock, oscilloscope booking and Proteus access</w:t>
      </w:r>
    </w:p>
    <w:p>
      <w:pPr>
        <w:pStyle w:val="ListParagraph"/>
        <w:numPr>
          <w:ilvl w:val="0"/>
          <w:numId w:val="6"/>
        </w:numPr>
      </w:pPr>
      <w:r>
        <w:t xml:space="preserve">☐ Send the parts list to the technician by Wednesday 28 October, 17:00</w:t>
      </w:r>
    </w:p>
    <w:p>
      <w:pPr>
        <w:pStyle w:val="ListParagraph"/>
        <w:numPr>
          <w:ilvl w:val="0"/>
          <w:numId w:val="6"/>
        </w:numPr>
      </w:pPr>
      <w:r>
        <w:t xml:space="preserve">☐ Write technical risk register v1 (about ten risks, each with a check)</w:t>
      </w:r>
    </w:p>
    <w:p>
      <w:pPr>
        <w:pStyle w:val="ListParagraph"/>
        <w:numPr>
          <w:ilvl w:val="0"/>
          <w:numId w:val="6"/>
        </w:numPr>
      </w:pPr>
      <w:r>
        <w:t xml:space="preserve">☐ Set up the Git repository and push the Octopus API script that made the slide 2 graph</w:t>
      </w:r>
    </w:p>
    <w:p>
      <w:pPr>
        <w:pStyle w:val="ListParagraph"/>
        <w:numPr>
          <w:ilvl w:val="0"/>
          <w:numId w:val="6"/>
        </w:numPr>
      </w:pPr>
      <w:r>
        <w:t xml:space="preserve">☐ Download a year of Octopus Agile and Elexon data; write the first T1 data-quality check</w:t>
      </w:r>
    </w:p>
    <w:p>
      <w:pPr>
        <w:pStyle w:val="ListParagraph"/>
        <w:numPr>
          <w:ilvl w:val="0"/>
          <w:numId w:val="6"/>
        </w:numPr>
      </w:pPr>
      <w:r>
        <w:t xml:space="preserve">☐ Collect 15 literature sources and start the comparison table</w:t>
      </w:r>
    </w:p>
    <w:p>
      <w:pPr>
        <w:pStyle w:val="ListParagraph"/>
        <w:numPr>
          <w:ilvl w:val="0"/>
          <w:numId w:val="6"/>
        </w:numPr>
      </w:pPr>
      <w:r>
        <w:t xml:space="preserve">☐ Start the Proteus schematic for the power-sensing PCB</w:t>
      </w:r>
    </w:p>
    <w:p>
      <w:pPr>
        <w:pStyle w:val="ListParagraph"/>
        <w:numPr>
          <w:ilvl w:val="0"/>
          <w:numId w:val="6"/>
        </w:numPr>
      </w:pPr>
      <w:r>
        <w:t xml:space="preserve">☐ Breadboard the op-amp and MOSFET current loop with a lab signal generator as the set-point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EE3EPJ Plan to 90%</dc:title>
  <dc:description>Claude Docs node/66b55437-3ea9@13 docx-w7</dc:description>
  <cp:revision>13</cp:revision>
</cp:coreProperties>
</file>