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360"/>
        <w:rPr/>
      </w:pPr>
      <w:bookmarkStart w:id="0" w:name="references"/>
      <w:bookmarkEnd w:id="0"/>
      <w:r>
        <w:rPr/>
        <w:t>References</w:t>
      </w:r>
    </w:p>
    <w:p>
      <w:pPr>
        <w:pStyle w:val="Bibliography"/>
        <w:rPr/>
      </w:pPr>
      <w:r>
        <w:rPr/>
        <w:t xml:space="preserve">Abbott, D. (2012) ‘Limits to Growth: Can Nuclear Power Supply the World’s Needs?’ </w:t>
      </w:r>
      <w:r>
        <w:rPr>
          <w:i/>
        </w:rPr>
        <w:t>Bulletin of the Atomic Scientists</w:t>
      </w:r>
      <w:r>
        <w:rPr/>
        <w:t xml:space="preserve"> 68 (5), 23–32</w:t>
      </w:r>
    </w:p>
    <w:p>
      <w:pPr>
        <w:pStyle w:val="Bibliography"/>
        <w:rPr/>
      </w:pPr>
      <w:r>
        <w:rPr/>
        <w:t xml:space="preserve">Akbulut, B., Demaria, F., Gerber, J.-F., and Martínez-Alier, J. (2019) ‘Who Promotes Sustainability? Five Theses on the Relationships between the Degrowth and the Environmental Justice Movements’. </w:t>
      </w:r>
      <w:r>
        <w:rPr>
          <w:i/>
        </w:rPr>
        <w:t>Ecological Economics</w:t>
      </w:r>
      <w:r>
        <w:rPr/>
        <w:t xml:space="preserve"> 165, 106418</w:t>
      </w:r>
    </w:p>
    <w:p>
      <w:pPr>
        <w:pStyle w:val="Bibliography"/>
        <w:rPr/>
      </w:pPr>
      <w:r>
        <w:rPr/>
        <w:t xml:space="preserve">Alier, J.M. (2009) ‘Socially Sustainable Economic De-Growth’. </w:t>
      </w:r>
      <w:r>
        <w:rPr>
          <w:i/>
        </w:rPr>
        <w:t>Development and Change</w:t>
      </w:r>
      <w:r>
        <w:rPr/>
        <w:t xml:space="preserve"> 40 (6), 1099–1119</w:t>
      </w:r>
    </w:p>
    <w:p>
      <w:pPr>
        <w:pStyle w:val="Bibliography"/>
        <w:rPr/>
      </w:pPr>
      <w:r>
        <w:rPr/>
        <w:t xml:space="preserve">Antal, M. and Bergh, J.C.J.M.V.D. (2016) ‘Green Growth and Climate Change: Conceptual and Empirical Considerations’. </w:t>
      </w:r>
      <w:r>
        <w:rPr>
          <w:i/>
        </w:rPr>
        <w:t>Climate Policy</w:t>
      </w:r>
      <w:r>
        <w:rPr/>
        <w:t xml:space="preserve"> 16 (2), 165–177</w:t>
      </w:r>
    </w:p>
    <w:p>
      <w:pPr>
        <w:pStyle w:val="Bibliography"/>
        <w:rPr/>
      </w:pPr>
      <w:r>
        <w:rPr/>
        <w:t xml:space="preserve">Barca, S. (2017) ‘Labour and the Ecological Crisis: The Eco-Modernist Dilemma in Western Marxism (s)(1970s-2000s)’. </w:t>
      </w:r>
      <w:r>
        <w:rPr>
          <w:i/>
        </w:rPr>
        <w:t>Geoforum</w:t>
      </w:r>
    </w:p>
    <w:p>
      <w:pPr>
        <w:pStyle w:val="Bibliography"/>
        <w:rPr/>
      </w:pPr>
      <w:r>
        <w:rPr/>
        <w:t xml:space="preserve">Battistoni, A. (2017) </w:t>
      </w:r>
      <w:r>
        <w:rPr>
          <w:i/>
        </w:rPr>
        <w:t>Living, Not Just Surviving</w:t>
      </w:r>
      <w:r>
        <w:rPr/>
        <w:t xml:space="preserve"> [online] available from &lt;</w:t>
      </w:r>
      <w:hyperlink r:id="rId2">
        <w:r>
          <w:rPr>
            <w:rStyle w:val="InternetLink"/>
          </w:rPr>
          <w:t>https://jacobinmag.com/2017/08/living-not-just-surviving</w:t>
        </w:r>
      </w:hyperlink>
      <w:r>
        <w:rPr/>
        <w:t>&gt; [10 October 2019]</w:t>
      </w:r>
    </w:p>
    <w:p>
      <w:pPr>
        <w:pStyle w:val="Bibliography"/>
        <w:rPr/>
      </w:pPr>
      <w:r>
        <w:rPr/>
        <w:t xml:space="preserve">van den Bergh, J.C.J.M. (2017) ‘A Third Option for Climate Policy within Potential Limits to Growth’. </w:t>
      </w:r>
      <w:r>
        <w:rPr>
          <w:i/>
        </w:rPr>
        <w:t>Nature Climate Change</w:t>
      </w:r>
      <w:r>
        <w:rPr/>
        <w:t xml:space="preserve"> 7 (2), 107–112</w:t>
      </w:r>
    </w:p>
    <w:p>
      <w:pPr>
        <w:pStyle w:val="Bibliography"/>
        <w:rPr/>
      </w:pPr>
      <w:r>
        <w:rPr/>
        <w:t>Beuret, N. (2019) ‘A Green New Deal Between Whom and For What?’ [24 October 2019] available from &lt;</w:t>
      </w:r>
      <w:hyperlink r:id="rId3">
        <w:r>
          <w:rPr>
            <w:rStyle w:val="InternetLink"/>
          </w:rPr>
          <w:t>https://www.viewpointmag.com/2019/10/24/green-new-deal-for-what/</w:t>
        </w:r>
      </w:hyperlink>
      <w:r>
        <w:rPr/>
        <w:t>&gt; [12 November 2019]</w:t>
      </w:r>
    </w:p>
    <w:p>
      <w:pPr>
        <w:pStyle w:val="Bibliography"/>
        <w:rPr/>
      </w:pPr>
      <w:r>
        <w:rPr/>
        <w:t xml:space="preserve">Bhattacharya, T. (2019) </w:t>
      </w:r>
      <w:r>
        <w:rPr>
          <w:i/>
        </w:rPr>
        <w:t>Three Ways a Green New Deal Can Promote Life Over Capital</w:t>
      </w:r>
      <w:r>
        <w:rPr/>
        <w:t xml:space="preserve"> [online] available from &lt;</w:t>
      </w:r>
      <w:hyperlink r:id="rId4">
        <w:r>
          <w:rPr>
            <w:rStyle w:val="InternetLink"/>
          </w:rPr>
          <w:t>https://jacobinmag.com/2019/06/green-new-deal-social-care-work</w:t>
        </w:r>
      </w:hyperlink>
      <w:r>
        <w:rPr/>
        <w:t>&gt; [30 October 2019]</w:t>
      </w:r>
    </w:p>
    <w:p>
      <w:pPr>
        <w:pStyle w:val="Bibliography"/>
        <w:rPr/>
      </w:pPr>
      <w:r>
        <w:rPr/>
        <w:t xml:space="preserve">Bookchin, M. (2004) </w:t>
      </w:r>
      <w:r>
        <w:rPr>
          <w:i/>
        </w:rPr>
        <w:t>Post-Scarcity Anarchism</w:t>
      </w:r>
      <w:r>
        <w:rPr/>
        <w:t>. AK Press</w:t>
      </w:r>
    </w:p>
    <w:p>
      <w:pPr>
        <w:pStyle w:val="Bibliography"/>
        <w:rPr/>
      </w:pPr>
      <w:r>
        <w:rPr/>
        <w:t xml:space="preserve">Bookchin, M. (1991) ‘Libertarian Municipalism: An Overview’. </w:t>
      </w:r>
      <w:r>
        <w:rPr>
          <w:i/>
        </w:rPr>
        <w:t>Green Perspectives</w:t>
      </w:r>
      <w:r>
        <w:rPr/>
        <w:t xml:space="preserve"> 24, 1–6</w:t>
      </w:r>
    </w:p>
    <w:p>
      <w:pPr>
        <w:pStyle w:val="Bibliography"/>
        <w:rPr/>
      </w:pPr>
      <w:r>
        <w:rPr/>
        <w:t xml:space="preserve">Brand, U. and Wissen, M. (2012) ‘Global Environmental Politics and the Imperial Mode of Living: Articulations of State–Capital Relations in the Multiple Crisis’. </w:t>
      </w:r>
      <w:r>
        <w:rPr>
          <w:i/>
        </w:rPr>
        <w:t>Globalizations</w:t>
      </w:r>
      <w:r>
        <w:rPr/>
        <w:t xml:space="preserve"> 9 (4), 547–560</w:t>
      </w:r>
    </w:p>
    <w:p>
      <w:pPr>
        <w:pStyle w:val="Bibliography"/>
        <w:rPr/>
      </w:pPr>
      <w:r>
        <w:rPr/>
        <w:t xml:space="preserve">Capellán-Pérez, I., de Castro, C., and Arto, I. (2017) ‘Assessing Vulnerabilities and Limits in the Transition to Renewable Energies: Land Requirements under 100% Solar Energy Scenarios’. </w:t>
      </w:r>
      <w:r>
        <w:rPr>
          <w:i/>
        </w:rPr>
        <w:t>Renewable and Sustainable Energy Reviews</w:t>
      </w:r>
      <w:r>
        <w:rPr/>
        <w:t xml:space="preserve"> 77, 760–782</w:t>
      </w:r>
    </w:p>
    <w:p>
      <w:pPr>
        <w:pStyle w:val="Bibliography"/>
        <w:rPr/>
      </w:pPr>
      <w:r>
        <w:rPr/>
        <w:t xml:space="preserve">Castoriadis, C. and Murphy, J. (1985) ‘Reflections on “Rationality” and “Development”’. </w:t>
      </w:r>
      <w:r>
        <w:rPr>
          <w:i/>
        </w:rPr>
        <w:t>Thesis Eleven</w:t>
      </w:r>
      <w:r>
        <w:rPr/>
        <w:t xml:space="preserve"> 10–11 (1), 18–36</w:t>
      </w:r>
    </w:p>
    <w:p>
      <w:pPr>
        <w:pStyle w:val="Bibliography"/>
        <w:rPr/>
      </w:pPr>
      <w:r>
        <w:rPr/>
        <w:t xml:space="preserve">Cosme, I., Santos, R., and O’Neill, D.W. (2017) ‘Assessing the Degrowth Discourse: A Review and Analysis of Academic Degrowth Policy Proposals’. </w:t>
      </w:r>
      <w:r>
        <w:rPr>
          <w:i/>
        </w:rPr>
        <w:t>Journal of Cleaner Production</w:t>
      </w:r>
      <w:r>
        <w:rPr/>
        <w:t xml:space="preserve"> 149, 321–334</w:t>
      </w:r>
    </w:p>
    <w:p>
      <w:pPr>
        <w:pStyle w:val="Bibliography"/>
        <w:rPr/>
      </w:pPr>
      <w:r>
        <w:rPr/>
        <w:t xml:space="preserve">Daly, H.E. (1996) </w:t>
      </w:r>
      <w:r>
        <w:rPr>
          <w:i/>
        </w:rPr>
        <w:t>Beyond Growth: The Economics of Sustainable Development</w:t>
      </w:r>
      <w:r>
        <w:rPr/>
        <w:t>. Beacon Press</w:t>
      </w:r>
    </w:p>
    <w:p>
      <w:pPr>
        <w:pStyle w:val="Bibliography"/>
        <w:rPr/>
      </w:pPr>
      <w:r>
        <w:rPr/>
        <w:t xml:space="preserve">Daly, H.E. and Farley, J. (2011) </w:t>
      </w:r>
      <w:r>
        <w:rPr>
          <w:i/>
        </w:rPr>
        <w:t>Ecological Economics, Second Edition: Principles and Applications</w:t>
      </w:r>
      <w:r>
        <w:rPr/>
        <w:t>. Island Press</w:t>
      </w:r>
    </w:p>
    <w:p>
      <w:pPr>
        <w:pStyle w:val="Bibliography"/>
        <w:rPr/>
      </w:pPr>
      <w:r>
        <w:rPr/>
        <w:t xml:space="preserve">Demaria, F., Schneider, F., Sekulova, F., and Martinez-Alier, J. (2013) ‘What Is Degrowth? From an Activist Slogan to a Social Movement’. </w:t>
      </w:r>
      <w:r>
        <w:rPr>
          <w:i/>
        </w:rPr>
        <w:t>Environmental Values</w:t>
      </w:r>
      <w:r>
        <w:rPr/>
        <w:t xml:space="preserve"> 22 (2), 191–215</w:t>
      </w:r>
    </w:p>
    <w:p>
      <w:pPr>
        <w:pStyle w:val="Bibliography"/>
        <w:rPr/>
      </w:pPr>
      <w:r>
        <w:rPr/>
        <w:t xml:space="preserve">Escobar, A. (2015) ‘Degrowth, Postdevelopment, and Transitions: A Preliminary Conversation’. </w:t>
      </w:r>
      <w:r>
        <w:rPr>
          <w:i/>
        </w:rPr>
        <w:t>Sustainability Science</w:t>
      </w:r>
      <w:r>
        <w:rPr/>
        <w:t xml:space="preserve"> 10 (3), 451–462</w:t>
      </w:r>
    </w:p>
    <w:p>
      <w:pPr>
        <w:pStyle w:val="Bibliography"/>
        <w:rPr/>
      </w:pPr>
      <w:r>
        <w:rPr/>
        <w:t xml:space="preserve">Gasser, T., Guivarch, C., Tachiiri, K., Jones, C.D., and Ciais, P. (2015) ‘Negative Emissions Physically Needed to Keep Global Warming below 2 °C’. </w:t>
      </w:r>
      <w:r>
        <w:rPr>
          <w:i/>
        </w:rPr>
        <w:t>Nature Communications</w:t>
      </w:r>
      <w:r>
        <w:rPr/>
        <w:t xml:space="preserve"> 6, 7958</w:t>
      </w:r>
    </w:p>
    <w:p>
      <w:pPr>
        <w:pStyle w:val="Bibliography"/>
        <w:rPr/>
      </w:pPr>
      <w:r>
        <w:rPr/>
        <w:t xml:space="preserve">Georgescu-Roegen, N. (1986) ‘The Entropy Law and the Economic Process in Retrospect’. </w:t>
      </w:r>
      <w:r>
        <w:rPr>
          <w:i/>
        </w:rPr>
        <w:t>Eastern Economic Journal</w:t>
      </w:r>
      <w:r>
        <w:rPr/>
        <w:t xml:space="preserve"> 12 (1), 3–25</w:t>
      </w:r>
    </w:p>
    <w:p>
      <w:pPr>
        <w:pStyle w:val="Bibliography"/>
        <w:rPr/>
      </w:pPr>
      <w:r>
        <w:rPr/>
        <w:t xml:space="preserve">Hickel, J. (2019) ‘Climate Breakdown Is Coming. The UK Needs a Greener New Deal | Jason Hickel’. </w:t>
      </w:r>
      <w:r>
        <w:rPr>
          <w:i/>
        </w:rPr>
        <w:t>The Guardian</w:t>
      </w:r>
      <w:r>
        <w:rPr/>
        <w:t xml:space="preserve"> [online] 5 March. available from &lt;</w:t>
      </w:r>
      <w:hyperlink r:id="rId5">
        <w:r>
          <w:rPr>
            <w:rStyle w:val="InternetLink"/>
          </w:rPr>
          <w:t>https://www.theguardian.com/commentisfree/2019/mar/05/climate-breakdown-uk-greener-new-deal-cap-consumption</w:t>
        </w:r>
      </w:hyperlink>
      <w:r>
        <w:rPr/>
        <w:t>&gt; [30 October 2019]</w:t>
      </w:r>
    </w:p>
    <w:p>
      <w:pPr>
        <w:pStyle w:val="Bibliography"/>
        <w:rPr/>
      </w:pPr>
      <w:r>
        <w:rPr/>
        <w:t xml:space="preserve">Illich, I. (1973) </w:t>
      </w:r>
      <w:r>
        <w:rPr>
          <w:i/>
        </w:rPr>
        <w:t>Energy and Equity</w:t>
      </w:r>
      <w:r>
        <w:rPr/>
        <w:t>. Calder &amp; Boyars</w:t>
      </w:r>
    </w:p>
    <w:p>
      <w:pPr>
        <w:pStyle w:val="Bibliography"/>
        <w:rPr/>
      </w:pPr>
      <w:r>
        <w:rPr/>
        <w:t xml:space="preserve">Kallis, G. (2018) </w:t>
      </w:r>
      <w:r>
        <w:rPr>
          <w:i/>
        </w:rPr>
        <w:t>Degrowth</w:t>
      </w:r>
      <w:r>
        <w:rPr/>
        <w:t>. Newcastle upon Tyne, UK: Agenda Publishing</w:t>
      </w:r>
    </w:p>
    <w:p>
      <w:pPr>
        <w:pStyle w:val="Bibliography"/>
        <w:rPr/>
      </w:pPr>
      <w:r>
        <w:rPr/>
        <w:t xml:space="preserve">Kallis, G. and Norgaard, R.B. (2010) ‘Coevolutionary Ecological Economics’. </w:t>
      </w:r>
      <w:r>
        <w:rPr>
          <w:i/>
        </w:rPr>
        <w:t>Ecological Economics</w:t>
      </w:r>
      <w:r>
        <w:rPr/>
        <w:t xml:space="preserve"> 69 (4), 690–699</w:t>
      </w:r>
    </w:p>
    <w:p>
      <w:pPr>
        <w:pStyle w:val="Bibliography"/>
        <w:rPr/>
      </w:pPr>
      <w:r>
        <w:rPr/>
        <w:t xml:space="preserve">Kallis, G. and Swyngedouw, E. (2018) ‘Do Bees Produce Value? A Conversation between an Ecological Economist and a Marxist Geographer’. </w:t>
      </w:r>
      <w:r>
        <w:rPr>
          <w:i/>
        </w:rPr>
        <w:t>Capitalism Nature Socialism</w:t>
      </w:r>
      <w:r>
        <w:rPr/>
        <w:t xml:space="preserve"> 29 (3), 36–50</w:t>
      </w:r>
    </w:p>
    <w:p>
      <w:pPr>
        <w:pStyle w:val="Bibliography"/>
        <w:rPr/>
      </w:pPr>
      <w:r>
        <w:rPr/>
        <w:t xml:space="preserve">Latouche, S. (2009) </w:t>
      </w:r>
      <w:r>
        <w:rPr>
          <w:i/>
        </w:rPr>
        <w:t>Farewell to Growth</w:t>
      </w:r>
      <w:r>
        <w:rPr/>
        <w:t>. Polity</w:t>
      </w:r>
    </w:p>
    <w:p>
      <w:pPr>
        <w:pStyle w:val="Bibliography"/>
        <w:rPr/>
      </w:pPr>
      <w:r>
        <w:rPr/>
        <w:t xml:space="preserve">Leonardi, E. (2019) ‘Bringing Class Analysis Back in: Assessing the Transformation of the Value-Nature Nexus to Strengthen the Connection Between Degrowth and Environmental Justice’. </w:t>
      </w:r>
      <w:r>
        <w:rPr>
          <w:i/>
        </w:rPr>
        <w:t>Ecological Economics</w:t>
      </w:r>
      <w:r>
        <w:rPr/>
        <w:t xml:space="preserve"> 156, 83–90</w:t>
      </w:r>
    </w:p>
    <w:p>
      <w:pPr>
        <w:pStyle w:val="Bibliography"/>
        <w:rPr/>
      </w:pPr>
      <w:r>
        <w:rPr/>
        <w:t xml:space="preserve">Lepenies, P. (2016) </w:t>
      </w:r>
      <w:r>
        <w:rPr>
          <w:i/>
        </w:rPr>
        <w:t>The Power of a Single Number: A Political History of GDP</w:t>
      </w:r>
      <w:r>
        <w:rPr/>
        <w:t>. Columbia University Press</w:t>
      </w:r>
    </w:p>
    <w:p>
      <w:pPr>
        <w:pStyle w:val="Bibliography"/>
        <w:rPr/>
      </w:pPr>
      <w:r>
        <w:rPr/>
        <w:t xml:space="preserve">Liesen, A., Dietsche, D., Gebauer, J., and Gebauer, J. (2014) </w:t>
      </w:r>
      <w:r>
        <w:rPr>
          <w:i/>
        </w:rPr>
        <w:t>Successful Non-Growing Companies</w:t>
      </w:r>
      <w:r>
        <w:rPr/>
        <w:t>.</w:t>
      </w:r>
    </w:p>
    <w:p>
      <w:pPr>
        <w:pStyle w:val="Bibliography"/>
        <w:rPr/>
      </w:pPr>
      <w:r>
        <w:rPr/>
        <w:t xml:space="preserve">Martínez-Alier, J. (2003) </w:t>
      </w:r>
      <w:r>
        <w:rPr>
          <w:i/>
        </w:rPr>
        <w:t>The Environmentalism of the Poor: A Study of Ecological Conflicts and Valuation</w:t>
      </w:r>
      <w:r>
        <w:rPr/>
        <w:t>. Edward Elgar Publishing</w:t>
      </w:r>
    </w:p>
    <w:p>
      <w:pPr>
        <w:pStyle w:val="Bibliography"/>
        <w:rPr/>
      </w:pPr>
      <w:r>
        <w:rPr/>
        <w:t xml:space="preserve">Mayumi, K. (2002) </w:t>
      </w:r>
      <w:r>
        <w:rPr>
          <w:i/>
        </w:rPr>
        <w:t>The Origins of Ecological Economics: The Bioeconomics of Georgescu-Roegen</w:t>
      </w:r>
      <w:r>
        <w:rPr/>
        <w:t>. Routledge</w:t>
      </w:r>
    </w:p>
    <w:p>
      <w:pPr>
        <w:pStyle w:val="Bibliography"/>
        <w:rPr/>
      </w:pPr>
      <w:r>
        <w:rPr/>
        <w:t xml:space="preserve">Pirgmaier, E. (2018) </w:t>
      </w:r>
      <w:r>
        <w:rPr>
          <w:i/>
        </w:rPr>
        <w:t>Value, Capital and Nature. Rethinking the Foundations of Ecological Economics</w:t>
      </w:r>
      <w:r>
        <w:rPr/>
        <w:t xml:space="preserve"> [online] phd. University of Leeds. available from &lt;</w:t>
      </w:r>
      <w:hyperlink r:id="rId6">
        <w:r>
          <w:rPr>
            <w:rStyle w:val="InternetLink"/>
          </w:rPr>
          <w:t>http://etheses.whiterose.ac.uk/22895/</w:t>
        </w:r>
      </w:hyperlink>
      <w:r>
        <w:rPr/>
        <w:t>&gt; [14 November 2019]</w:t>
      </w:r>
    </w:p>
    <w:p>
      <w:pPr>
        <w:pStyle w:val="Bibliography"/>
        <w:rPr/>
      </w:pPr>
      <w:r>
        <w:rPr/>
        <w:t xml:space="preserve">Pirgmaier, E. (2017) ‘The Neoclassical Trojan Horse of Steady-State Economics’. </w:t>
      </w:r>
      <w:r>
        <w:rPr>
          <w:i/>
        </w:rPr>
        <w:t>Ecological Economics</w:t>
      </w:r>
      <w:r>
        <w:rPr/>
        <w:t xml:space="preserve"> 133, 52–61</w:t>
      </w:r>
    </w:p>
    <w:p>
      <w:pPr>
        <w:pStyle w:val="Bibliography"/>
        <w:rPr/>
      </w:pPr>
      <w:r>
        <w:rPr/>
        <w:t xml:space="preserve">Quijano, A. (2000) ‘Coloniality of Power and Eurocentrism in Latin America’. </w:t>
      </w:r>
      <w:r>
        <w:rPr>
          <w:i/>
        </w:rPr>
        <w:t>International Sociology</w:t>
      </w:r>
      <w:r>
        <w:rPr/>
        <w:t xml:space="preserve"> 15 (2), 215–232</w:t>
      </w:r>
    </w:p>
    <w:p>
      <w:pPr>
        <w:pStyle w:val="Bibliography"/>
        <w:rPr/>
      </w:pPr>
      <w:r>
        <w:rPr/>
        <w:t xml:space="preserve">Sayre, N.F. (2008) ‘The Genesis, History, and Limits of Carrying Capacity’. </w:t>
      </w:r>
      <w:r>
        <w:rPr>
          <w:i/>
        </w:rPr>
        <w:t>Annals of the Association of American Geographers</w:t>
      </w:r>
      <w:r>
        <w:rPr/>
        <w:t xml:space="preserve"> 98 (1), 120–134</w:t>
      </w:r>
    </w:p>
    <w:p>
      <w:pPr>
        <w:pStyle w:val="Bibliography"/>
        <w:rPr/>
      </w:pPr>
      <w:r>
        <w:rPr/>
        <w:t xml:space="preserve">Schmelzer, M. (2016) </w:t>
      </w:r>
      <w:r>
        <w:rPr>
          <w:i/>
        </w:rPr>
        <w:t>The Hegemony of Growth</w:t>
      </w:r>
      <w:r>
        <w:rPr/>
        <w:t xml:space="preserve"> [online] available from &lt;</w:t>
      </w:r>
      <w:hyperlink r:id="rId7">
        <w:r>
          <w:rPr>
            <w:rStyle w:val="InternetLink"/>
          </w:rPr>
          <w:t>/core/books/hegemony-of-growth/A80C4DF19D804C723D55A5EFE7A447FD</w:t>
        </w:r>
      </w:hyperlink>
      <w:r>
        <w:rPr/>
        <w:t>&gt; [9 May 2019]</w:t>
      </w:r>
    </w:p>
    <w:p>
      <w:pPr>
        <w:pStyle w:val="Bibliography"/>
        <w:rPr/>
      </w:pPr>
      <w:r>
        <w:rPr/>
        <w:t xml:space="preserve">Smith, T. (1995) ‘The Case against Free Market Environmentalism’. </w:t>
      </w:r>
      <w:r>
        <w:rPr>
          <w:i/>
        </w:rPr>
        <w:t>Journal of Agricultural and Environmental Ethics</w:t>
      </w:r>
      <w:r>
        <w:rPr/>
        <w:t xml:space="preserve"> 8 (2), 126–144</w:t>
      </w:r>
    </w:p>
    <w:p>
      <w:pPr>
        <w:pStyle w:val="Bibliography"/>
        <w:rPr/>
      </w:pPr>
      <w:r>
        <w:rPr/>
        <w:t xml:space="preserve">Srinivasan, U.T., Carey, S.P., Hallstein, E., Higgins, P.A.T., Kerr, A.C., Koteen, L.E., Smith, A.B., Watson, R., Harte, J., and Norgaard, R.B. (2008) ‘The Debt of Nations and the Distribution of Ecological Impacts from Human Activities’. </w:t>
      </w:r>
      <w:r>
        <w:rPr>
          <w:i/>
        </w:rPr>
        <w:t>Proceedings of the National Academy of Sciences</w:t>
      </w:r>
      <w:r>
        <w:rPr/>
        <w:t xml:space="preserve"> 105 (5), 1768–1773</w:t>
      </w:r>
    </w:p>
    <w:p>
      <w:pPr>
        <w:pStyle w:val="Bibliography"/>
        <w:rPr/>
      </w:pPr>
      <w:r>
        <w:rPr/>
        <w:t xml:space="preserve">Stern, D.I. (2017) ‘The Environmental Kuznets Curve after 25 Years’. </w:t>
      </w:r>
      <w:r>
        <w:rPr>
          <w:i/>
        </w:rPr>
        <w:t>Journal of Bioeconomics</w:t>
      </w:r>
      <w:r>
        <w:rPr/>
        <w:t xml:space="preserve"> 19 (1), 7–28</w:t>
      </w:r>
    </w:p>
    <w:p>
      <w:pPr>
        <w:pStyle w:val="Bibliography"/>
        <w:rPr/>
      </w:pPr>
      <w:r>
        <w:rPr/>
        <w:t xml:space="preserve">Vansintjan, A. (2019) </w:t>
      </w:r>
      <w:r>
        <w:rPr>
          <w:i/>
        </w:rPr>
        <w:t>Degrowth vs. the Green New Deal</w:t>
      </w:r>
      <w:r>
        <w:rPr/>
        <w:t xml:space="preserve"> [online] available from &lt;</w:t>
      </w:r>
      <w:hyperlink r:id="rId8">
        <w:r>
          <w:rPr>
            <w:rStyle w:val="InternetLink"/>
          </w:rPr>
          <w:t>https://briarpatchmagazine.com/articles/view/degrowth-vs.-the-green-new-deal</w:t>
        </w:r>
      </w:hyperlink>
      <w:r>
        <w:rPr/>
        <w:t>&gt; [30 October 2019]</w:t>
      </w:r>
    </w:p>
    <w:p>
      <w:pPr>
        <w:pStyle w:val="Bibliography"/>
        <w:rPr/>
      </w:pPr>
      <w:r>
        <w:rPr/>
        <w:t xml:space="preserve">Weiss, M. and Cattaneo, C. (2017) ‘Degrowth – Taking Stock and Reviewing an Emerging Academic Paradigm’. </w:t>
      </w:r>
      <w:r>
        <w:rPr>
          <w:i/>
        </w:rPr>
        <w:t>Ecological Economics</w:t>
      </w:r>
      <w:r>
        <w:rPr/>
        <w:t xml:space="preserve"> 137, 220–230</w:t>
      </w:r>
    </w:p>
    <w:p>
      <w:pPr>
        <w:pStyle w:val="Bibliography"/>
        <w:spacing w:lineRule="auto" w:line="288" w:before="0" w:after="80"/>
        <w:ind w:left="454" w:hanging="454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 Linotype">
    <w:charset w:val="01"/>
    <w:family w:val="roman"/>
    <w:pitch w:val="variable"/>
  </w:font>
  <w:font w:name="Palatino linotype">
    <w:charset w:val="01"/>
    <w:family w:val="roman"/>
    <w:pitch w:val="variable"/>
  </w:font>
  <w:font w:name="Calibri">
    <w:charset w:val="01"/>
    <w:family w:val="roman"/>
    <w:pitch w:val="variable"/>
  </w:font>
  <w:font w:name="Sabon Next LT Pro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ind w:right="360" w:hanging="0"/>
      <w:jc w:val="left"/>
      <w:rPr/>
    </w:pPr>
    <w:r>
      <w:rPr>
        <w:spacing w:val="-12"/>
        <w:sz w:val="22"/>
        <w:szCs w:val="22"/>
        <w:lang w:val="en-GB"/>
      </w:rPr>
      <w:tab/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</w:rPr>
    </w:pPr>
    <w:r>
      <w:rPr>
        <w:i/>
        <w:spacing w:val="-12"/>
        <w:sz w:val="22"/>
        <w:szCs w:val="22"/>
      </w:rPr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</w:rPr>
    </w:pPr>
    <w:r>
      <w:rPr>
        <w:i/>
        <w:spacing w:val="-12"/>
        <w:sz w:val="22"/>
        <w:szCs w:val="22"/>
      </w:rPr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</w:rPr>
    </w:pPr>
    <w:r>
      <w:rPr>
        <w:i/>
        <w:spacing w:val="-12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a75666"/>
    <w:pPr>
      <w:widowControl/>
      <w:bidi w:val="0"/>
      <w:spacing w:lineRule="auto" w:line="360" w:before="0" w:after="0"/>
      <w:jc w:val="both"/>
    </w:pPr>
    <w:rPr>
      <w:rFonts w:ascii="Palatino Linotype" w:hAnsi="Palatino Linotype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a75666"/>
    <w:pPr>
      <w:keepNext w:val="true"/>
      <w:keepLines/>
      <w:pageBreakBefore w:val="false"/>
      <w:bidi w:val="0"/>
      <w:spacing w:before="360" w:after="360"/>
      <w:jc w:val="left"/>
      <w:outlineLvl w:val="0"/>
    </w:pPr>
    <w:rPr>
      <w:rFonts w:eastAsia="" w:cs="" w:cstheme="majorBidi" w:eastAsiaTheme="majorEastAsia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a75666"/>
    <w:pPr>
      <w:keepNext w:val="true"/>
      <w:keepLines/>
      <w:bidi w:val="0"/>
      <w:spacing w:before="480" w:after="0"/>
      <w:jc w:val="left"/>
      <w:outlineLvl w:val="1"/>
    </w:pPr>
    <w:rPr>
      <w:rFonts w:eastAsia="" w:cs="" w:cstheme="majorBidi" w:eastAsiaTheme="majorEastAsia"/>
      <w:b/>
      <w:bCs/>
      <w:color w:val="000000" w:themeColor="text1"/>
      <w:sz w:val="2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2"/>
    </w:pPr>
    <w:rPr>
      <w:rFonts w:ascii="Palatino linotype" w:hAnsi="Palatino linotype" w:eastAsia="" w:cs="" w:cstheme="majorBidi" w:eastAsiaTheme="majorEastAsia"/>
      <w:b/>
      <w:bCs/>
      <w:i/>
      <w:color w:val="000000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sid w:val="005c1c4f"/>
    <w:rPr>
      <w:rFonts w:ascii="Sabon Next LT Pro" w:hAnsi="Sabon Next LT Pro"/>
      <w:sz w:val="2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a75666"/>
    <w:rPr>
      <w:rFonts w:ascii="Palatino Linotype" w:hAnsi="Palatino Linotype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a75451"/>
    <w:rPr>
      <w:rFonts w:ascii="Sabon Next LT Pro" w:hAnsi="Sabon Next LT Pr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45438"/>
    <w:rPr>
      <w:rFonts w:ascii="Sabon Next LT Pro" w:hAnsi="Sabon Next LT Pro"/>
    </w:rPr>
  </w:style>
  <w:style w:type="character" w:styleId="FooterChar" w:customStyle="1">
    <w:name w:val="Footer Char"/>
    <w:basedOn w:val="DefaultParagraphFont"/>
    <w:link w:val="Footer"/>
    <w:qFormat/>
    <w:rsid w:val="00b45438"/>
    <w:rPr>
      <w:rFonts w:ascii="Sabon Next LT Pro" w:hAnsi="Sabon Next LT Pro"/>
    </w:rPr>
  </w:style>
  <w:style w:type="character" w:styleId="Pagenumber">
    <w:name w:val="page number"/>
    <w:basedOn w:val="DefaultParagraphFont"/>
    <w:semiHidden/>
    <w:unhideWhenUsed/>
    <w:qFormat/>
    <w:rsid w:val="00b4543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a75666"/>
    <w:pPr>
      <w:ind w:firstLine="567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rsid w:val="005b2a87"/>
    <w:pPr>
      <w:bidi w:val="0"/>
      <w:ind w:left="0" w:right="0" w:hanging="0"/>
      <w:jc w:val="left"/>
    </w:pPr>
    <w:rPr/>
  </w:style>
  <w:style w:type="paragraph" w:styleId="Compact" w:customStyle="1">
    <w:name w:val="Compact"/>
    <w:basedOn w:val="TextBody"/>
    <w:qFormat/>
    <w:rsid w:val="004c571c"/>
    <w:pPr>
      <w:bidi w:val="0"/>
      <w:spacing w:lineRule="auto" w:line="360"/>
      <w:ind w:hanging="0"/>
      <w:jc w:val="left"/>
    </w:pPr>
    <w:rPr/>
  </w:style>
  <w:style w:type="paragraph" w:styleId="Title">
    <w:name w:val="Title"/>
    <w:basedOn w:val="Normal"/>
    <w:qFormat/>
    <w:pPr>
      <w:keepNext w:val="true"/>
      <w:keepLines/>
      <w:bidi w:val="0"/>
      <w:spacing w:before="480" w:after="240"/>
      <w:jc w:val="center"/>
    </w:pPr>
    <w:rPr>
      <w:rFonts w:ascii="Palatino linotype" w:hAnsi="Palatino linotype" w:eastAsia="" w:cs="" w:cstheme="majorBidi" w:eastAsiaTheme="majorEastAsia"/>
      <w:b w:val="false"/>
      <w:bCs/>
      <w:i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75666"/>
    <w:pPr>
      <w:spacing w:lineRule="auto" w:line="288" w:before="0" w:after="80"/>
      <w:ind w:left="454" w:hanging="454"/>
      <w:jc w:val="left"/>
    </w:pPr>
    <w:rPr/>
  </w:style>
  <w:style w:type="paragraph" w:styleId="BlockText">
    <w:name w:val="Block Text"/>
    <w:basedOn w:val="TextBody"/>
    <w:uiPriority w:val="9"/>
    <w:unhideWhenUsed/>
    <w:qFormat/>
    <w:rsid w:val="005b2a87"/>
    <w:pPr>
      <w:spacing w:before="80" w:after="80"/>
      <w:ind w:left="567" w:right="567" w:hanging="0"/>
      <w:contextualSpacing/>
    </w:pPr>
    <w:rPr>
      <w:rFonts w:eastAsia="" w:cs="" w:cstheme="majorBidi" w:eastAsiaTheme="majorEastAsia"/>
      <w:sz w:val="22"/>
      <w:szCs w:val="20"/>
    </w:rPr>
  </w:style>
  <w:style w:type="paragraph" w:styleId="Footnote">
    <w:name w:val="Footnote Text"/>
    <w:basedOn w:val="Normal"/>
    <w:uiPriority w:val="9"/>
    <w:unhideWhenUsed/>
    <w:qFormat/>
    <w:rsid w:val="00a75666"/>
    <w:pPr>
      <w:suppressLineNumbers/>
      <w:ind w:left="339" w:hanging="339"/>
    </w:pPr>
    <w:rPr>
      <w:sz w:val="20"/>
      <w:szCs w:val="20"/>
    </w:rPr>
  </w:style>
  <w:style w:type="paragraph" w:styleId="DefinitionTerm" w:customStyle="1">
    <w:name w:val="Definition Term"/>
    <w:basedOn w:val="Normal"/>
    <w:qFormat/>
    <w:pPr>
      <w:keepNext w:val="true"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rsid w:val="002c23ff"/>
    <w:pPr>
      <w:bidi w:val="0"/>
      <w:spacing w:lineRule="auto" w:line="240" w:before="115" w:after="576"/>
      <w:ind w:left="576" w:right="0" w:hanging="0"/>
      <w:jc w:val="left"/>
    </w:pPr>
    <w:rPr>
      <w:rFonts w:ascii="Palatino linotype" w:hAnsi="Palatino linotype"/>
      <w:b w:val="false"/>
      <w:i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60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rsid w:val="005c1c4f"/>
    <w:pPr>
      <w:ind w:left="2835" w:hanging="0"/>
    </w:pPr>
    <w:rPr>
      <w:sz w:val="22"/>
    </w:rPr>
  </w:style>
  <w:style w:type="paragraph" w:styleId="TextBodyIndent">
    <w:name w:val="Body Text Indent"/>
    <w:basedOn w:val="TextBody"/>
    <w:link w:val="BodyTextFirstIndentChar"/>
    <w:semiHidden/>
    <w:unhideWhenUsed/>
    <w:qFormat/>
    <w:rsid w:val="00a75451"/>
    <w:pPr/>
    <w:rPr/>
  </w:style>
  <w:style w:type="paragraph" w:styleId="Header">
    <w:name w:val="Header"/>
    <w:basedOn w:val="Normal"/>
    <w:link w:val="HeaderChar"/>
    <w:uiPriority w:val="99"/>
    <w:unhideWhenUsed/>
    <w:rsid w:val="00b45438"/>
    <w:pPr>
      <w:tabs>
        <w:tab w:val="center" w:pos="4513" w:leader="none"/>
        <w:tab w:val="right" w:pos="9026" w:leader="none"/>
      </w:tabs>
      <w:bidi w:val="0"/>
      <w:spacing w:lineRule="auto" w:line="240"/>
      <w:jc w:val="left"/>
    </w:pPr>
    <w:rPr>
      <w:color w:val="A9A9A9"/>
    </w:rPr>
  </w:style>
  <w:style w:type="paragraph" w:styleId="Footer">
    <w:name w:val="Footer"/>
    <w:basedOn w:val="Normal"/>
    <w:link w:val="FooterChar"/>
    <w:unhideWhenUsed/>
    <w:rsid w:val="00b45438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nnotationText">
    <w:name w:val="Annotation Text"/>
    <w:basedOn w:val="TextBody"/>
    <w:qFormat/>
    <w:pPr>
      <w:ind w:left="2268" w:hanging="0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hanging="2551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cobinmag.com/2017/08/living-not-just-surviving" TargetMode="External"/><Relationship Id="rId3" Type="http://schemas.openxmlformats.org/officeDocument/2006/relationships/hyperlink" Target="https://www.viewpointmag.com/2019/10/24/green-new-deal-for-what/" TargetMode="External"/><Relationship Id="rId4" Type="http://schemas.openxmlformats.org/officeDocument/2006/relationships/hyperlink" Target="https://jacobinmag.com/2019/06/green-new-deal-social-care-work" TargetMode="External"/><Relationship Id="rId5" Type="http://schemas.openxmlformats.org/officeDocument/2006/relationships/hyperlink" Target="https://www.theguardian.com/commentisfree/2019/mar/05/climate-breakdown-uk-greener-new-deal-cap-consumption" TargetMode="External"/><Relationship Id="rId6" Type="http://schemas.openxmlformats.org/officeDocument/2006/relationships/hyperlink" Target="http://etheses.whiterose.ac.uk/22895/" TargetMode="External"/><Relationship Id="rId7" Type="http://schemas.openxmlformats.org/officeDocument/2006/relationships/hyperlink" Target="https://doi.org//core/books/hegemony-of-growth/A80C4DF19D804C723D55A5EFE7A447FD" TargetMode="External"/><Relationship Id="rId8" Type="http://schemas.openxmlformats.org/officeDocument/2006/relationships/hyperlink" Target="https://briarpatchmagazine.com/articles/view/degrowth-vs.-the-green-new-dea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4</Pages>
  <Words>824</Words>
  <Characters>5264</Characters>
  <CharactersWithSpaces>6022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2019-04-03T14:48:43Z</dcterms:created>
  <dc:creator/>
  <dc:description/>
  <dc:language>en-US</dc:language>
  <cp:lastModifiedBy>Tomislav Medak</cp:lastModifiedBy>
  <dcterms:modified xsi:type="dcterms:W3CDTF">2019-11-15T00:25:13Z</dcterms:modified>
  <cp:revision>8</cp:revision>
  <dc:subject/>
  <dc:title/>
</cp:coreProperties>
</file>