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60" w:after="360"/>
        <w:rPr/>
      </w:pPr>
      <w:r>
        <w:rPr/>
        <w:t>Bibliography</w:t>
      </w:r>
    </w:p>
    <w:p>
      <w:pPr>
        <w:pStyle w:val="Bibliography"/>
        <w:rPr/>
      </w:pPr>
      <w:r>
        <w:rPr/>
        <w:t xml:space="preserve">Biodiversity Information system for Europe (2019) </w:t>
      </w:r>
      <w:r>
        <w:rPr>
          <w:i/>
        </w:rPr>
        <w:t>Land Use Change —</w:t>
      </w:r>
      <w:r>
        <w:rPr/>
        <w:t xml:space="preserve"> [online] available from &lt;</w:t>
      </w:r>
      <w:hyperlink r:id="rId2">
        <w:r>
          <w:rPr>
            <w:rStyle w:val="InternetLink"/>
          </w:rPr>
          <w:t>https://biodiversity.europa.eu/topics/land-use-change</w:t>
        </w:r>
      </w:hyperlink>
      <w:r>
        <w:rPr/>
        <w:t>&gt; [30 March 2019]</w:t>
      </w:r>
    </w:p>
    <w:p>
      <w:pPr>
        <w:pStyle w:val="Bibliography"/>
        <w:rPr/>
      </w:pPr>
      <w:r>
        <w:rPr/>
        <w:t xml:space="preserve">Drucker, J. (n.d.) </w:t>
      </w:r>
      <w:r>
        <w:rPr>
          <w:i/>
        </w:rPr>
        <w:t>3DH Visualizations: Three Dimensional / Digital Humanities</w:t>
      </w:r>
      <w:r>
        <w:rPr/>
        <w:t xml:space="preserve"> [online] available from &lt;</w:t>
      </w:r>
      <w:hyperlink r:id="rId3">
        <w:r>
          <w:rPr>
            <w:rStyle w:val="InternetLink"/>
          </w:rPr>
          <w:t>https://pages.gseis.ucla.edu/faculty/drucker/3DH_Gallery/Text_3DH_Gallery.html</w:t>
        </w:r>
      </w:hyperlink>
      <w:r>
        <w:rPr/>
        <w:t>&gt; [9 May 2019]</w:t>
      </w:r>
    </w:p>
    <w:p>
      <w:pPr>
        <w:pStyle w:val="Bibliography"/>
        <w:rPr/>
      </w:pPr>
      <w:r>
        <w:rPr/>
        <w:t xml:space="preserve">Edwards, P.N. (2017) ‘Knowledge Infrastructures for the Anthropocene’. </w:t>
      </w:r>
      <w:r>
        <w:rPr>
          <w:i/>
        </w:rPr>
        <w:t>The Anthropocene Review</w:t>
      </w:r>
      <w:r>
        <w:rPr/>
        <w:t xml:space="preserve"> 4 (1), 34–43</w:t>
      </w:r>
    </w:p>
    <w:p>
      <w:pPr>
        <w:pStyle w:val="Bibliography"/>
        <w:rPr/>
      </w:pPr>
      <w:r>
        <w:rPr/>
        <w:t xml:space="preserve">Edwards, P.N. (2010) </w:t>
      </w:r>
      <w:r>
        <w:rPr>
          <w:i/>
        </w:rPr>
        <w:t>A Vast Machine: Computer Models, Climate Data, and the Politics of Global Warming</w:t>
      </w:r>
      <w:r>
        <w:rPr/>
        <w:t>. MIT Press</w:t>
      </w:r>
    </w:p>
    <w:p>
      <w:pPr>
        <w:pStyle w:val="Bibliography"/>
        <w:rPr/>
      </w:pPr>
      <w:r>
        <w:rPr/>
        <w:t xml:space="preserve">Ellis, E.C. and Ramankutty, N. (2008) ‘Putting People in the Map: Anthropogenic Biomes of the World’. </w:t>
      </w:r>
      <w:r>
        <w:rPr>
          <w:i/>
        </w:rPr>
        <w:t>Frontiers in Ecology and the Environment</w:t>
      </w:r>
      <w:r>
        <w:rPr/>
        <w:t xml:space="preserve"> 6 (8), 439–447</w:t>
      </w:r>
    </w:p>
    <w:p>
      <w:pPr>
        <w:pStyle w:val="Bibliography"/>
        <w:rPr/>
      </w:pPr>
      <w:r>
        <w:rPr/>
        <w:t xml:space="preserve">Fischer‐Kowalski, M., Krausmann, F., Giljum, S., Lutter, S., Mayer, A., Bringezu, S., Moriguchi, Y., Schütz, H., Schandl, H., and Weisz, H. (2011) ‘Methodology and Indicators of Economy-Wide Material Flow Accounting’. </w:t>
      </w:r>
      <w:r>
        <w:rPr>
          <w:i/>
        </w:rPr>
        <w:t>Journal of Industrial Ecology</w:t>
      </w:r>
      <w:r>
        <w:rPr/>
        <w:t xml:space="preserve"> 15 (6), 855–876</w:t>
      </w:r>
    </w:p>
    <w:p>
      <w:pPr>
        <w:pStyle w:val="Bibliography"/>
        <w:rPr/>
      </w:pPr>
      <w:r>
        <w:rPr/>
        <w:t xml:space="preserve">Fischer-Kowalski, M., Krausmann, F., and Pallua, I. (2014) ‘A Sociometabolic Reading of the Anthropocene: Modes of Subsistence, Population Size and Human Impact on Earth’. </w:t>
      </w:r>
      <w:r>
        <w:rPr>
          <w:i/>
        </w:rPr>
        <w:t>The Anthropocene Review</w:t>
      </w:r>
      <w:r>
        <w:rPr/>
        <w:t xml:space="preserve"> 1 (1), 8–33</w:t>
      </w:r>
    </w:p>
    <w:p>
      <w:pPr>
        <w:pStyle w:val="Bibliography"/>
        <w:rPr/>
      </w:pPr>
      <w:r>
        <w:rPr/>
        <w:t xml:space="preserve">Gerber, J.-F. and Scheidel, A. (2018) ‘In Search of Substantive Economics: Comparing Today’s Two Major Socio-Metabolic Approaches to the Economy–MEFA and MuSIASEM’. </w:t>
      </w:r>
      <w:r>
        <w:rPr>
          <w:i/>
        </w:rPr>
        <w:t>Ecological Economics</w:t>
      </w:r>
      <w:r>
        <w:rPr/>
        <w:t xml:space="preserve"> 144, 186–194</w:t>
      </w:r>
    </w:p>
    <w:p>
      <w:pPr>
        <w:pStyle w:val="Bibliography"/>
        <w:rPr/>
      </w:pPr>
      <w:r>
        <w:rPr/>
        <w:t xml:space="preserve">Haberl, H., Fischer-Kowalski, M., Krausmann, F., and Winiwarter, V. (2016) </w:t>
      </w:r>
      <w:r>
        <w:rPr>
          <w:i/>
        </w:rPr>
        <w:t>Social Ecology: Society-Nature Relations across Time and Space</w:t>
      </w:r>
      <w:r>
        <w:rPr/>
        <w:t>. Springer</w:t>
      </w:r>
    </w:p>
    <w:p>
      <w:pPr>
        <w:pStyle w:val="Bibliography"/>
        <w:rPr/>
      </w:pPr>
      <w:r>
        <w:rPr/>
        <w:t xml:space="preserve">Karlen, D.L., Mausbach, M.J., Doran, J.W., Cline, R.G., Harris, R.F., and Schuman, G.E. (1997) ‘Soil Quality: A Concept, Definition, and Framework for Evaluation (a Guest Editorial)’. </w:t>
      </w:r>
      <w:r>
        <w:rPr>
          <w:i/>
        </w:rPr>
        <w:t>Soil Science Society of America Journal</w:t>
      </w:r>
      <w:r>
        <w:rPr/>
        <w:t xml:space="preserve"> 61 (1), 4–10</w:t>
      </w:r>
    </w:p>
    <w:p>
      <w:pPr>
        <w:pStyle w:val="Bibliography"/>
        <w:rPr/>
      </w:pPr>
      <w:r>
        <w:rPr/>
        <w:t xml:space="preserve">Lindsey, P.A., Chapron, G., Petracca, L.S., Burnham, D., Hayward, M.W., Henschel, P., Hinks, A.E., Garnett, S.T., Macdonald, D.W., Macdonald, E.A., Ripple, W.J., Zander, K., and Dickman, A. (2017) ‘Relative Efforts of Countries to Conserve World’s Megafauna’. </w:t>
      </w:r>
      <w:r>
        <w:rPr>
          <w:i/>
        </w:rPr>
        <w:t>Global Ecology and Conservation</w:t>
      </w:r>
      <w:r>
        <w:rPr/>
        <w:t xml:space="preserve"> 10, 243–252</w:t>
      </w:r>
    </w:p>
    <w:p>
      <w:pPr>
        <w:pStyle w:val="Bibliography"/>
        <w:rPr/>
      </w:pPr>
      <w:r>
        <w:rPr/>
        <w:t xml:space="preserve">Lovell, H. and MacKenzie, D. (2011) ‘Accounting for Carbon: The Role of Accounting Professional Organisations in Governing Climate Change’. </w:t>
      </w:r>
      <w:r>
        <w:rPr>
          <w:i/>
        </w:rPr>
        <w:t>Antipode</w:t>
      </w:r>
      <w:r>
        <w:rPr/>
        <w:t xml:space="preserve"> 43 (3), 704–730</w:t>
      </w:r>
    </w:p>
    <w:p>
      <w:pPr>
        <w:pStyle w:val="Bibliography"/>
        <w:rPr/>
      </w:pPr>
      <w:r>
        <w:rPr/>
        <w:t xml:space="preserve">Nykvist, B. (2013) </w:t>
      </w:r>
      <w:r>
        <w:rPr>
          <w:i/>
        </w:rPr>
        <w:t>National Environmental Performance on Planetary Boundaries: A Study for the Swedish Environmental Protection Agency</w:t>
      </w:r>
      <w:r>
        <w:rPr/>
        <w:t>. Swedish Environmental Protection Agency</w:t>
      </w:r>
    </w:p>
    <w:p>
      <w:pPr>
        <w:pStyle w:val="Bibliography"/>
        <w:rPr/>
      </w:pPr>
      <w:r>
        <w:rPr/>
        <w:t xml:space="preserve">O’Neill, D.W., Fanning, A.L., Lamb, W.F., and Steinberger, J.K. (2018) ‘A Good Life for All within Planetary Boundaries’. </w:t>
      </w:r>
      <w:r>
        <w:rPr>
          <w:i/>
        </w:rPr>
        <w:t>Nature Sustainability</w:t>
      </w:r>
      <w:r>
        <w:rPr/>
        <w:t xml:space="preserve"> 1 (2), 88</w:t>
      </w:r>
    </w:p>
    <w:p>
      <w:pPr>
        <w:pStyle w:val="Bibliography"/>
        <w:rPr/>
      </w:pPr>
      <w:r>
        <w:rPr/>
        <w:t xml:space="preserve">Plantin, J.-C., Lagoze, C., Edwards, P.N., and Sandvig, C. (2018) ‘Infrastructure Studies Meet Platform Studies in the Age of Google and Facebook’. </w:t>
      </w:r>
      <w:r>
        <w:rPr>
          <w:i/>
        </w:rPr>
        <w:t>New Media &amp; Society</w:t>
      </w:r>
      <w:r>
        <w:rPr/>
        <w:t xml:space="preserve"> 20 (1), 293–310</w:t>
      </w:r>
    </w:p>
    <w:p>
      <w:pPr>
        <w:pStyle w:val="Bibliography"/>
        <w:spacing w:lineRule="auto" w:line="288" w:before="0" w:after="80"/>
        <w:ind w:left="454" w:hanging="454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Palatino Linotype">
    <w:charset w:val="01"/>
    <w:family w:val="roman"/>
    <w:pitch w:val="variable"/>
  </w:font>
  <w:font w:name="Calibri">
    <w:charset w:val="01"/>
    <w:family w:val="roman"/>
    <w:pitch w:val="variable"/>
  </w:font>
  <w:font w:name="Sabon Next LT Pro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alatino linotyp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[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]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0" w:leader="none"/>
        <w:tab w:val="center" w:pos="4513" w:leader="none"/>
        <w:tab w:val="right" w:pos="9021" w:leader="none"/>
        <w:tab w:val="right" w:pos="9026" w:leader="none"/>
      </w:tabs>
      <w:ind w:right="360" w:hanging="0"/>
      <w:jc w:val="left"/>
      <w:rPr/>
    </w:pPr>
    <w:r>
      <w:rPr>
        <w:spacing w:val="-12"/>
        <w:sz w:val="22"/>
        <w:szCs w:val="22"/>
        <w:lang w:val="en-GB"/>
      </w:rPr>
      <w:tab/>
    </w:r>
  </w:p>
  <w:p>
    <w:pPr>
      <w:pStyle w:val="Header"/>
      <w:tabs>
        <w:tab w:val="left" w:pos="0" w:leader="none"/>
        <w:tab w:val="center" w:pos="4513" w:leader="none"/>
        <w:tab w:val="right" w:pos="9021" w:leader="none"/>
        <w:tab w:val="right" w:pos="9026" w:leader="none"/>
      </w:tabs>
      <w:jc w:val="left"/>
      <w:rPr>
        <w:i/>
        <w:i/>
        <w:spacing w:val="-12"/>
        <w:sz w:val="22"/>
        <w:szCs w:val="22"/>
      </w:rPr>
    </w:pPr>
    <w:r>
      <w:rPr>
        <w:i/>
        <w:spacing w:val="-12"/>
        <w:sz w:val="22"/>
        <w:szCs w:val="22"/>
      </w:rPr>
    </w:r>
  </w:p>
  <w:p>
    <w:pPr>
      <w:pStyle w:val="Header"/>
      <w:tabs>
        <w:tab w:val="left" w:pos="0" w:leader="none"/>
        <w:tab w:val="center" w:pos="4513" w:leader="none"/>
        <w:tab w:val="right" w:pos="9021" w:leader="none"/>
        <w:tab w:val="right" w:pos="9026" w:leader="none"/>
      </w:tabs>
      <w:jc w:val="left"/>
      <w:rPr>
        <w:i/>
        <w:i/>
        <w:spacing w:val="-12"/>
        <w:sz w:val="22"/>
        <w:szCs w:val="22"/>
      </w:rPr>
    </w:pPr>
    <w:r>
      <w:rPr>
        <w:i/>
        <w:spacing w:val="-12"/>
        <w:sz w:val="22"/>
        <w:szCs w:val="22"/>
      </w:rPr>
    </w:r>
  </w:p>
  <w:p>
    <w:pPr>
      <w:pStyle w:val="Header"/>
      <w:tabs>
        <w:tab w:val="left" w:pos="0" w:leader="none"/>
        <w:tab w:val="center" w:pos="4513" w:leader="none"/>
        <w:tab w:val="right" w:pos="9021" w:leader="none"/>
        <w:tab w:val="right" w:pos="9026" w:leader="none"/>
      </w:tabs>
      <w:jc w:val="left"/>
      <w:rPr>
        <w:i/>
        <w:i/>
        <w:spacing w:val="-12"/>
        <w:sz w:val="22"/>
        <w:szCs w:val="22"/>
      </w:rPr>
    </w:pPr>
    <w:r>
      <w:rPr>
        <w:i/>
        <w:spacing w:val="-12"/>
        <w:sz w:val="22"/>
        <w:szCs w:val="22"/>
      </w:rPr>
    </w:r>
  </w:p>
</w:hdr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Body Text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sid w:val="00a75666"/>
    <w:pPr>
      <w:widowControl/>
      <w:bidi w:val="0"/>
      <w:spacing w:lineRule="auto" w:line="360" w:before="0" w:after="0"/>
      <w:jc w:val="both"/>
    </w:pPr>
    <w:rPr>
      <w:rFonts w:ascii="Palatino Linotype" w:hAnsi="Palatino Linotype" w:eastAsia="Cambria" w:cs="" w:cstheme="minorBidi" w:eastAsiaTheme="minorHAnsi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rsid w:val="00a75666"/>
    <w:pPr>
      <w:keepNext w:val="true"/>
      <w:keepLines/>
      <w:pageBreakBefore w:val="false"/>
      <w:bidi w:val="0"/>
      <w:spacing w:before="360" w:after="360"/>
      <w:jc w:val="left"/>
      <w:outlineLvl w:val="0"/>
    </w:pPr>
    <w:rPr>
      <w:rFonts w:eastAsia="" w:cs="" w:cstheme="majorBidi" w:eastAsiaTheme="majorEastAsia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uiPriority w:val="9"/>
    <w:unhideWhenUsed/>
    <w:qFormat/>
    <w:rsid w:val="00a75666"/>
    <w:pPr>
      <w:keepNext w:val="true"/>
      <w:keepLines/>
      <w:bidi w:val="0"/>
      <w:spacing w:before="480" w:after="0"/>
      <w:jc w:val="left"/>
      <w:outlineLvl w:val="1"/>
    </w:pPr>
    <w:rPr>
      <w:rFonts w:eastAsia="" w:cs="" w:cstheme="majorBidi" w:eastAsiaTheme="majorEastAsia"/>
      <w:b/>
      <w:bCs/>
      <w:color w:val="000000" w:themeColor="text1"/>
      <w:sz w:val="26"/>
      <w:szCs w:val="32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bidi w:val="0"/>
      <w:spacing w:before="200" w:after="0"/>
      <w:jc w:val="left"/>
      <w:outlineLvl w:val="2"/>
    </w:pPr>
    <w:rPr>
      <w:rFonts w:ascii="Palatino Linotype" w:hAnsi="Palatino Linotype" w:eastAsia="" w:cs="" w:cstheme="majorBidi" w:eastAsiaTheme="majorEastAsia"/>
      <w:b/>
      <w:bCs/>
      <w:i w:val="false"/>
      <w:iCs w:val="false"/>
      <w:color w:val="000000"/>
      <w:sz w:val="24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Palatino Linotype" w:hAnsi="Palatino Linotype" w:eastAsia="" w:cs="" w:cstheme="majorBidi" w:eastAsiaTheme="majorEastAsia"/>
      <w:b/>
      <w:bCs/>
      <w:i/>
      <w:iCs/>
      <w:color w:val="000000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link w:val="SourceCode"/>
    <w:qFormat/>
    <w:rsid w:val="005c1c4f"/>
    <w:rPr>
      <w:rFonts w:ascii="Sabon Next LT Pro" w:hAnsi="Sabon Next LT Pro"/>
      <w:sz w:val="22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Caption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qFormat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qFormat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qFormat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qFormat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qFormat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qFormat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qFormat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</w:rPr>
  </w:style>
  <w:style w:type="character" w:styleId="BodyTextChar" w:customStyle="1">
    <w:name w:val="Body Text Char"/>
    <w:basedOn w:val="DefaultParagraphFont"/>
    <w:link w:val="BodyText"/>
    <w:qFormat/>
    <w:rsid w:val="00a75666"/>
    <w:rPr>
      <w:rFonts w:ascii="Palatino Linotype" w:hAnsi="Palatino Linotype"/>
    </w:rPr>
  </w:style>
  <w:style w:type="character" w:styleId="BodyTextFirstIndentChar" w:customStyle="1">
    <w:name w:val="Body Text First Indent Char"/>
    <w:basedOn w:val="BodyTextChar"/>
    <w:link w:val="BodyTextFirstIndent"/>
    <w:semiHidden/>
    <w:qFormat/>
    <w:rsid w:val="00a75451"/>
    <w:rPr>
      <w:rFonts w:ascii="Sabon Next LT Pro" w:hAnsi="Sabon Next LT Pro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45438"/>
    <w:rPr>
      <w:rFonts w:ascii="Sabon Next LT Pro" w:hAnsi="Sabon Next LT Pro"/>
    </w:rPr>
  </w:style>
  <w:style w:type="character" w:styleId="FooterChar" w:customStyle="1">
    <w:name w:val="Footer Char"/>
    <w:basedOn w:val="DefaultParagraphFont"/>
    <w:link w:val="Footer"/>
    <w:qFormat/>
    <w:rsid w:val="00b45438"/>
    <w:rPr>
      <w:rFonts w:ascii="Sabon Next LT Pro" w:hAnsi="Sabon Next LT Pro"/>
    </w:rPr>
  </w:style>
  <w:style w:type="character" w:styleId="Pagenumber">
    <w:name w:val="page number"/>
    <w:basedOn w:val="DefaultParagraphFont"/>
    <w:semiHidden/>
    <w:unhideWhenUsed/>
    <w:qFormat/>
    <w:rsid w:val="00b45438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ListLabel45">
    <w:name w:val="ListLabel 45"/>
    <w:qFormat/>
    <w:rPr/>
  </w:style>
  <w:style w:type="character" w:styleId="ListLabel46">
    <w:name w:val="ListLabel 46"/>
    <w:qFormat/>
    <w:rPr/>
  </w:style>
  <w:style w:type="character" w:styleId="ListLabel47">
    <w:name w:val="ListLabel 47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rsid w:val="00a75666"/>
    <w:pPr>
      <w:ind w:firstLine="567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qFormat/>
    <w:rsid w:val="005b2a87"/>
    <w:pPr>
      <w:bidi w:val="0"/>
      <w:ind w:left="0" w:right="0" w:hanging="0"/>
      <w:jc w:val="left"/>
    </w:pPr>
    <w:rPr/>
  </w:style>
  <w:style w:type="paragraph" w:styleId="Compact" w:customStyle="1">
    <w:name w:val="Compact"/>
    <w:basedOn w:val="TextBody"/>
    <w:qFormat/>
    <w:rsid w:val="004c571c"/>
    <w:pPr>
      <w:bidi w:val="0"/>
      <w:spacing w:lineRule="auto" w:line="360"/>
      <w:ind w:hanging="0"/>
      <w:jc w:val="left"/>
    </w:pPr>
    <w:rPr/>
  </w:style>
  <w:style w:type="paragraph" w:styleId="Title">
    <w:name w:val="Title"/>
    <w:basedOn w:val="Normal"/>
    <w:qFormat/>
    <w:pPr>
      <w:keepNext w:val="true"/>
      <w:keepLines/>
      <w:bidi w:val="0"/>
      <w:spacing w:before="480" w:after="240"/>
      <w:jc w:val="center"/>
    </w:pPr>
    <w:rPr>
      <w:rFonts w:ascii="Palatino linotype" w:hAnsi="Palatino linotype" w:eastAsia="" w:cs="" w:cstheme="majorBidi" w:eastAsiaTheme="majorEastAsia"/>
      <w:b w:val="false"/>
      <w:bCs/>
      <w:i/>
      <w:color w:val="000000" w:themeShade="b5"/>
      <w:sz w:val="36"/>
      <w:szCs w:val="36"/>
    </w:rPr>
  </w:style>
  <w:style w:type="paragraph" w:styleId="Subtitle">
    <w:name w:val="Subtitle"/>
    <w:basedOn w:val="Title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jc w:val="center"/>
    </w:pPr>
    <w:rPr>
      <w:rFonts w:ascii="Palatino Linotype" w:hAnsi="Palatino Linotype" w:eastAsia="Cambria" w:cs="" w:cstheme="minorBidi" w:eastAsiaTheme="minorHAnsi"/>
      <w:color w:val="00000A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jc w:val="center"/>
    </w:pPr>
    <w:rPr>
      <w:rFonts w:ascii="Palatino Linotype" w:hAnsi="Palatino Linotype" w:eastAsia="Cambria" w:cs="" w:cstheme="minorBidi" w:eastAsiaTheme="minorHAnsi"/>
      <w:color w:val="00000A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widowControl/>
      <w:bidi w:val="0"/>
      <w:spacing w:lineRule="auto" w:line="276" w:before="300" w:after="300"/>
      <w:ind w:left="720" w:right="720" w:hanging="0"/>
      <w:jc w:val="both"/>
    </w:pPr>
    <w:rPr>
      <w:sz w:val="22"/>
      <w:szCs w:val="22"/>
    </w:rPr>
  </w:style>
  <w:style w:type="paragraph" w:styleId="Bibliography">
    <w:name w:val="Bibliography"/>
    <w:basedOn w:val="Normal"/>
    <w:qFormat/>
    <w:rsid w:val="00a75666"/>
    <w:pPr>
      <w:spacing w:lineRule="auto" w:line="288" w:before="0" w:after="80"/>
      <w:ind w:left="454" w:hanging="454"/>
      <w:jc w:val="left"/>
    </w:pPr>
    <w:rPr/>
  </w:style>
  <w:style w:type="paragraph" w:styleId="BlockText">
    <w:name w:val="Block Text"/>
    <w:basedOn w:val="TextBody"/>
    <w:uiPriority w:val="9"/>
    <w:unhideWhenUsed/>
    <w:qFormat/>
    <w:rsid w:val="005b2a87"/>
    <w:pPr>
      <w:spacing w:before="80" w:after="80"/>
      <w:ind w:left="567" w:right="567" w:hanging="0"/>
      <w:contextualSpacing/>
    </w:pPr>
    <w:rPr>
      <w:rFonts w:eastAsia="" w:cs="" w:cstheme="majorBidi" w:eastAsiaTheme="majorEastAsia"/>
      <w:sz w:val="22"/>
      <w:szCs w:val="20"/>
    </w:rPr>
  </w:style>
  <w:style w:type="paragraph" w:styleId="Footnote">
    <w:name w:val="Footnote Text"/>
    <w:basedOn w:val="Normal"/>
    <w:uiPriority w:val="9"/>
    <w:unhideWhenUsed/>
    <w:qFormat/>
    <w:rsid w:val="00a75666"/>
    <w:pPr>
      <w:suppressLineNumbers/>
      <w:ind w:left="339" w:hanging="339"/>
    </w:pPr>
    <w:rPr>
      <w:sz w:val="20"/>
      <w:szCs w:val="20"/>
    </w:rPr>
  </w:style>
  <w:style w:type="paragraph" w:styleId="DefinitionTerm" w:customStyle="1">
    <w:name w:val="Definition Term"/>
    <w:basedOn w:val="Normal"/>
    <w:qFormat/>
    <w:pPr>
      <w:keepNext w:val="true"/>
      <w:keepLines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rsid w:val="002c23ff"/>
    <w:pPr>
      <w:bidi w:val="0"/>
      <w:spacing w:lineRule="auto" w:line="240" w:before="115" w:after="576"/>
      <w:ind w:left="576" w:right="0" w:hanging="0"/>
      <w:jc w:val="left"/>
    </w:pPr>
    <w:rPr>
      <w:rFonts w:ascii="Palatino linotype" w:hAnsi="Palatino linotype"/>
      <w:b w:val="false"/>
      <w:i/>
      <w:sz w:val="22"/>
    </w:rPr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360"/>
    </w:pPr>
    <w:rPr>
      <w:rFonts w:ascii="Calibri" w:hAnsi="Calibri" w:asciiTheme="majorHAnsi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rsid w:val="005c1c4f"/>
    <w:pPr>
      <w:ind w:left="2835" w:hanging="0"/>
    </w:pPr>
    <w:rPr>
      <w:sz w:val="22"/>
    </w:rPr>
  </w:style>
  <w:style w:type="paragraph" w:styleId="TextBodyIndent">
    <w:name w:val="Body Text Indent"/>
    <w:basedOn w:val="TextBody"/>
    <w:link w:val="BodyTextFirstIndentChar"/>
    <w:semiHidden/>
    <w:unhideWhenUsed/>
    <w:qFormat/>
    <w:rsid w:val="00a75451"/>
    <w:pPr/>
    <w:rPr/>
  </w:style>
  <w:style w:type="paragraph" w:styleId="Header">
    <w:name w:val="Header"/>
    <w:basedOn w:val="Normal"/>
    <w:link w:val="HeaderChar"/>
    <w:uiPriority w:val="99"/>
    <w:unhideWhenUsed/>
    <w:rsid w:val="00b45438"/>
    <w:pPr>
      <w:tabs>
        <w:tab w:val="center" w:pos="4513" w:leader="none"/>
        <w:tab w:val="right" w:pos="9026" w:leader="none"/>
      </w:tabs>
      <w:bidi w:val="0"/>
      <w:spacing w:lineRule="auto" w:line="240"/>
      <w:jc w:val="left"/>
    </w:pPr>
    <w:rPr>
      <w:color w:val="A9A9A9"/>
    </w:rPr>
  </w:style>
  <w:style w:type="paragraph" w:styleId="Footer">
    <w:name w:val="Footer"/>
    <w:basedOn w:val="Normal"/>
    <w:link w:val="FooterChar"/>
    <w:unhideWhenUsed/>
    <w:rsid w:val="00b45438"/>
    <w:pPr>
      <w:tabs>
        <w:tab w:val="center" w:pos="4513" w:leader="none"/>
        <w:tab w:val="right" w:pos="9026" w:leader="none"/>
      </w:tabs>
      <w:spacing w:lineRule="auto" w:line="240"/>
      <w:ind w:right="360" w:hanging="0"/>
      <w:jc w:val="center"/>
    </w:pPr>
    <w:rPr/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ender">
    <w:name w:val="Envelope Return"/>
    <w:basedOn w:val="Normal"/>
    <w:pPr>
      <w:suppressLineNumbers/>
      <w:spacing w:before="0" w:after="60"/>
    </w:pPr>
    <w:rPr/>
  </w:style>
  <w:style w:type="paragraph" w:styleId="Signature">
    <w:name w:val="Signature"/>
    <w:basedOn w:val="Normal"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AnnotationText">
    <w:name w:val="Annotation Text"/>
    <w:basedOn w:val="TextBody"/>
    <w:qFormat/>
    <w:pPr>
      <w:ind w:left="2268" w:hanging="0"/>
    </w:pPr>
    <w:rPr/>
  </w:style>
  <w:style w:type="paragraph" w:styleId="ListIndent">
    <w:name w:val="List Indent"/>
    <w:basedOn w:val="TextBody"/>
    <w:qFormat/>
    <w:pPr>
      <w:tabs>
        <w:tab w:val="left" w:pos="0" w:leader="none"/>
      </w:tabs>
      <w:ind w:left="2835" w:hanging="2551"/>
    </w:pPr>
    <w:rPr/>
  </w:style>
  <w:style w:type="paragraph" w:styleId="Addressee">
    <w:name w:val="Envelope Address"/>
    <w:basedOn w:val="Normal"/>
    <w:pPr>
      <w:suppressLineNumbers/>
      <w:spacing w:before="0" w:after="60"/>
    </w:pPr>
    <w:rPr/>
  </w:style>
  <w:style w:type="paragraph" w:styleId="Keywords">
    <w:name w:val="Keyword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iodiversity.europa.eu/topics/land-use-change" TargetMode="External"/><Relationship Id="rId3" Type="http://schemas.openxmlformats.org/officeDocument/2006/relationships/hyperlink" Target="https://pages.gseis.ucla.edu/faculty/drucker/3DH_Gallery/Text_3DH_Gallery.html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LibreOffice/6.0.7.3$Linux_X86_64 LibreOffice_project/00m0$Build-3</Application>
  <Pages>2</Pages>
  <Words>389</Words>
  <Characters>2418</Characters>
  <CharactersWithSpaces>2782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2019-11-11T08:50:18Z</dcterms:created>
  <dc:creator/>
  <dc:description/>
  <dc:language>en-US</dc:language>
  <cp:lastModifiedBy>Tomislav Medak</cp:lastModifiedBy>
  <dcterms:modified xsi:type="dcterms:W3CDTF">2019-11-15T01:29:47Z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.pandoc/bibliography/zotero_library_TMedak.bib</vt:lpwstr>
  </property>
  <property fmtid="{D5CDD505-2E9C-101B-9397-08002B2CF9AE}" pid="3" name="csl">
    <vt:lpwstr>.pandoc/csl/harvard-coventry-university.csl</vt:lpwstr>
  </property>
</Properties>
</file>