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360"/>
        <w:rPr/>
      </w:pPr>
      <w:r>
        <w:rPr/>
        <w:t>Bibliography</w:t>
      </w:r>
    </w:p>
    <w:p>
      <w:pPr>
        <w:pStyle w:val="Bibliography"/>
        <w:rPr/>
      </w:pPr>
      <w:r>
        <w:rPr/>
        <w:t xml:space="preserve">Akbulut, B., Demaria, F., Gerber, J.-F., and Martínez-Alier, J. (2019) ‘Who Promotes Sustainability? Five Theses on the Relationships Between the Degrowth and the Environmental Justice Movements’. </w:t>
      </w:r>
      <w:r>
        <w:rPr>
          <w:i/>
        </w:rPr>
        <w:t>Ecological Economics</w:t>
      </w:r>
      <w:r>
        <w:rPr/>
        <w:t xml:space="preserve"> [online] 165, 106418. available from &lt;</w:t>
      </w:r>
      <w:hyperlink r:id="rId2">
        <w:r>
          <w:rPr>
            <w:rStyle w:val="ListLabel46"/>
          </w:rPr>
          <w:t>http://www.sciencedirect.com/science/article/pii/S0921800919306160</w:t>
        </w:r>
      </w:hyperlink>
      <w:r>
        <w:rPr/>
        <w:t>&gt; [30 October 2019]</w:t>
      </w:r>
      <w:bookmarkStart w:id="0" w:name="ref-akbulut_who_2019"/>
      <w:bookmarkEnd w:id="0"/>
    </w:p>
    <w:p>
      <w:pPr>
        <w:pStyle w:val="Bibliography"/>
        <w:rPr/>
      </w:pPr>
      <w:r>
        <w:rPr/>
        <w:t xml:space="preserve">Bridge, G. and Billon, P.L. (2012) </w:t>
      </w:r>
      <w:r>
        <w:rPr>
          <w:i/>
        </w:rPr>
        <w:t>Oil</w:t>
      </w:r>
      <w:r>
        <w:rPr/>
        <w:t>. Cambridge, UK ; Malden, MA: Polity Press</w:t>
      </w:r>
      <w:bookmarkStart w:id="1" w:name="ref-bridge_oil_2012"/>
      <w:bookmarkEnd w:id="1"/>
    </w:p>
    <w:p>
      <w:pPr>
        <w:pStyle w:val="Bibliography"/>
        <w:rPr/>
      </w:pPr>
      <w:r>
        <w:rPr/>
        <w:t xml:space="preserve">Escobar, A. (2015) ‘Degrowth, Postdevelopment, and Transitions: A Preliminary Conversation’. </w:t>
      </w:r>
      <w:r>
        <w:rPr>
          <w:i/>
        </w:rPr>
        <w:t>Sustainability Science</w:t>
      </w:r>
      <w:r>
        <w:rPr/>
        <w:t xml:space="preserve"> 10 (3), 451–462</w:t>
      </w:r>
      <w:bookmarkStart w:id="2" w:name="ref-escobar_degrowth_2015"/>
      <w:bookmarkEnd w:id="2"/>
    </w:p>
    <w:p>
      <w:pPr>
        <w:pStyle w:val="Bibliography"/>
        <w:rPr/>
      </w:pPr>
      <w:r>
        <w:rPr/>
        <w:t xml:space="preserve">Federici, S. and Linebaugh, P. (2018) </w:t>
      </w:r>
      <w:r>
        <w:rPr>
          <w:i/>
        </w:rPr>
        <w:t>Re-Enchanting the World: Feminism and the Politics of the Commons</w:t>
      </w:r>
      <w:r>
        <w:rPr/>
        <w:t>. PM Press</w:t>
      </w:r>
      <w:bookmarkStart w:id="3" w:name="ref-federici_re-enchanting_2018"/>
      <w:bookmarkEnd w:id="3"/>
    </w:p>
    <w:p>
      <w:pPr>
        <w:pStyle w:val="Bibliography"/>
        <w:rPr/>
      </w:pPr>
      <w:r>
        <w:rPr/>
        <w:t xml:space="preserve">Fisher, M. (2009) </w:t>
      </w:r>
      <w:r>
        <w:rPr>
          <w:i/>
        </w:rPr>
        <w:t>Capitalist Realism: Is There No Alternative?</w:t>
      </w:r>
      <w:r>
        <w:rPr/>
        <w:t xml:space="preserve"> John Hunt Publishing</w:t>
      </w:r>
      <w:bookmarkStart w:id="4" w:name="ref-fisher_capitalist_2009"/>
      <w:bookmarkEnd w:id="4"/>
    </w:p>
    <w:p>
      <w:pPr>
        <w:pStyle w:val="Bibliography"/>
        <w:rPr/>
      </w:pPr>
      <w:r>
        <w:rPr/>
        <w:t xml:space="preserve">Fukuyama, F. (1989) ‘The End of History?’ </w:t>
      </w:r>
      <w:r>
        <w:rPr>
          <w:i/>
        </w:rPr>
        <w:t>The National Interest</w:t>
      </w:r>
      <w:r>
        <w:rPr/>
        <w:t xml:space="preserve"> [online] (16), 3–18. available from &lt;</w:t>
      </w:r>
      <w:hyperlink r:id="rId3">
        <w:r>
          <w:rPr>
            <w:rStyle w:val="ListLabel46"/>
          </w:rPr>
          <w:t>http://www.jstor.org/stable/24027184</w:t>
        </w:r>
      </w:hyperlink>
      <w:r>
        <w:rPr/>
        <w:t>&gt; [19 March 2016]</w:t>
      </w:r>
      <w:bookmarkStart w:id="5" w:name="ref-fukuyama_end_1989"/>
      <w:bookmarkEnd w:id="5"/>
    </w:p>
    <w:p>
      <w:pPr>
        <w:pStyle w:val="Bibliography"/>
        <w:rPr/>
      </w:pPr>
      <w:r>
        <w:rPr/>
        <w:t xml:space="preserve">Gerber, J.-F. and Scheidel, A. (2018) ‘In Search of Substantive Economics: Comparing Today’s Two Major Socio-Metabolic Approaches to the EconomyMEFA and MuSIASEM’. </w:t>
      </w:r>
      <w:r>
        <w:rPr>
          <w:i/>
        </w:rPr>
        <w:t>Ecological Economics</w:t>
      </w:r>
      <w:r>
        <w:rPr/>
        <w:t xml:space="preserve"> 144, 186–194</w:t>
      </w:r>
      <w:bookmarkStart w:id="6" w:name="ref-gerber_search_2018"/>
      <w:bookmarkEnd w:id="6"/>
    </w:p>
    <w:p>
      <w:pPr>
        <w:pStyle w:val="Bibliography"/>
        <w:rPr/>
      </w:pPr>
      <w:r>
        <w:rPr/>
        <w:t xml:space="preserve">Hägglund, M. (2019) </w:t>
      </w:r>
      <w:r>
        <w:rPr>
          <w:i/>
        </w:rPr>
        <w:t>This Life: Why Mortality Makes Us Free</w:t>
      </w:r>
      <w:r>
        <w:rPr/>
        <w:t>. Profile Books</w:t>
      </w:r>
      <w:bookmarkStart w:id="7" w:name="ref-hagglund_this_2019"/>
      <w:bookmarkEnd w:id="7"/>
    </w:p>
    <w:p>
      <w:pPr>
        <w:pStyle w:val="Bibliography"/>
        <w:rPr/>
      </w:pPr>
      <w:r>
        <w:rPr/>
        <w:t xml:space="preserve">Hickel, J. (2019) ‘Degrowth: A Theory of Radical Abundance’. </w:t>
      </w:r>
      <w:r>
        <w:rPr>
          <w:i/>
        </w:rPr>
        <w:t>Real-World Economics Review</w:t>
      </w:r>
      <w:r>
        <w:rPr/>
        <w:t xml:space="preserve"> [online] (87), 54–68. available from &lt;</w:t>
      </w:r>
      <w:hyperlink r:id="rId4">
        <w:r>
          <w:rPr>
            <w:rStyle w:val="ListLabel46"/>
          </w:rPr>
          <w:t>http://www.paecon.net/PAEReview/issue84/whole84.pdf</w:t>
        </w:r>
      </w:hyperlink>
      <w:r>
        <w:rPr/>
        <w:t>&gt; [5 May 2019]</w:t>
      </w:r>
      <w:bookmarkStart w:id="8" w:name="ref-hickel_degrowth_2019"/>
      <w:bookmarkEnd w:id="8"/>
    </w:p>
    <w:p>
      <w:pPr>
        <w:pStyle w:val="Bibliography"/>
        <w:rPr/>
      </w:pPr>
      <w:r>
        <w:rPr/>
        <w:t xml:space="preserve">Hickel, J. (2018) </w:t>
      </w:r>
      <w:r>
        <w:rPr>
          <w:i/>
        </w:rPr>
        <w:t>The Divide: Global Inequality from Conquest to Free Markets</w:t>
      </w:r>
      <w:r>
        <w:rPr/>
        <w:t>. W. W. Norton &amp; Company</w:t>
      </w:r>
      <w:bookmarkStart w:id="9" w:name="ref-hickel_divide_2018"/>
      <w:bookmarkEnd w:id="9"/>
    </w:p>
    <w:p>
      <w:pPr>
        <w:pStyle w:val="Bibliography"/>
        <w:rPr/>
      </w:pPr>
      <w:r>
        <w:rPr/>
        <w:t xml:space="preserve">Hickel, J. and Kallis, G. (2019) ‘Is Green Growth Possible?’ </w:t>
      </w:r>
      <w:r>
        <w:rPr>
          <w:i/>
        </w:rPr>
        <w:t>New Political Economy</w:t>
      </w:r>
      <w:r>
        <w:rPr/>
        <w:t xml:space="preserve"> [online] available from &lt;</w:t>
      </w:r>
      <w:hyperlink r:id="rId5">
        <w:r>
          <w:rPr>
            <w:rStyle w:val="ListLabel46"/>
          </w:rPr>
          <w:t>https://doi.org/10.1080/13563467.2019.1598964</w:t>
        </w:r>
      </w:hyperlink>
      <w:r>
        <w:rPr/>
        <w:t>&gt; [27 April 2019]</w:t>
      </w:r>
      <w:bookmarkStart w:id="10" w:name="ref-hickel_green_2019"/>
      <w:bookmarkEnd w:id="10"/>
    </w:p>
    <w:p>
      <w:pPr>
        <w:pStyle w:val="Bibliography"/>
        <w:rPr/>
      </w:pPr>
      <w:r>
        <w:rPr/>
        <w:t xml:space="preserve">Huber, M.T. (2013) </w:t>
      </w:r>
      <w:r>
        <w:rPr>
          <w:i/>
        </w:rPr>
        <w:t>Lifeblood: Oil, Freedom, and the Forces of Capital</w:t>
      </w:r>
      <w:r>
        <w:rPr/>
        <w:t>. University of Minnesota Press</w:t>
      </w:r>
      <w:bookmarkStart w:id="11" w:name="ref-huber_lifeblood_2013"/>
      <w:bookmarkEnd w:id="11"/>
    </w:p>
    <w:p>
      <w:pPr>
        <w:pStyle w:val="Bibliography"/>
        <w:rPr/>
      </w:pPr>
      <w:r>
        <w:rPr/>
        <w:t xml:space="preserve">Jameson, F. (2003) ‘Future City’. </w:t>
      </w:r>
      <w:r>
        <w:rPr>
          <w:i/>
        </w:rPr>
        <w:t>New Left Review</w:t>
      </w:r>
      <w:r>
        <w:rPr/>
        <w:t xml:space="preserve"> 21, 65</w:t>
      </w:r>
      <w:bookmarkStart w:id="12" w:name="ref-jameson_future_2003"/>
      <w:bookmarkEnd w:id="12"/>
    </w:p>
    <w:p>
      <w:pPr>
        <w:pStyle w:val="Bibliography"/>
        <w:rPr/>
      </w:pPr>
      <w:r>
        <w:rPr/>
        <w:t xml:space="preserve">Latouche, S. (2009) </w:t>
      </w:r>
      <w:r>
        <w:rPr>
          <w:i/>
        </w:rPr>
        <w:t>Farewell to Growth</w:t>
      </w:r>
      <w:r>
        <w:rPr/>
        <w:t>. Polity</w:t>
      </w:r>
      <w:bookmarkStart w:id="13" w:name="ref-latouche_farewell_2009"/>
      <w:bookmarkEnd w:id="13"/>
    </w:p>
    <w:p>
      <w:pPr>
        <w:pStyle w:val="Bibliography"/>
        <w:rPr/>
      </w:pPr>
      <w:r>
        <w:rPr/>
        <w:t xml:space="preserve">Martínez-Alier, J. (2003) </w:t>
      </w:r>
      <w:r>
        <w:rPr>
          <w:i/>
        </w:rPr>
        <w:t>The Environmentalism of the Poor: A Study of Ecological Conflicts and Valuation</w:t>
      </w:r>
      <w:r>
        <w:rPr/>
        <w:t>. Edward Elgar Publishing</w:t>
      </w:r>
      <w:bookmarkStart w:id="14" w:name="ref-martinez-alier_environmentalism_2003"/>
      <w:bookmarkEnd w:id="14"/>
    </w:p>
    <w:p>
      <w:pPr>
        <w:pStyle w:val="Bibliography"/>
        <w:rPr/>
      </w:pPr>
      <w:r>
        <w:rPr/>
        <w:t xml:space="preserve">Merchant, C. (1987) ‘The Theoretical Structure of Ecological Revolutions’. </w:t>
      </w:r>
      <w:r>
        <w:rPr>
          <w:i/>
        </w:rPr>
        <w:t>Environmental Review: ER</w:t>
      </w:r>
      <w:r>
        <w:rPr/>
        <w:t xml:space="preserve"> [online] 11 (4), 265–274. available from &lt;</w:t>
      </w:r>
      <w:hyperlink r:id="rId6">
        <w:r>
          <w:rPr>
            <w:rStyle w:val="ListLabel46"/>
          </w:rPr>
          <w:t>http://www.jstor.org/stable/3984135</w:t>
        </w:r>
      </w:hyperlink>
      <w:r>
        <w:rPr/>
        <w:t>&gt; [12 June 2018]</w:t>
      </w:r>
      <w:bookmarkStart w:id="15" w:name="ref-merchant_theoretical_1987"/>
      <w:bookmarkEnd w:id="15"/>
    </w:p>
    <w:p>
      <w:pPr>
        <w:pStyle w:val="Bibliography"/>
        <w:rPr/>
      </w:pPr>
      <w:r>
        <w:rPr/>
        <w:t xml:space="preserve">O’Connor, J.R. (1998) </w:t>
      </w:r>
      <w:r>
        <w:rPr>
          <w:i/>
        </w:rPr>
        <w:t>Natural Causes: Essays in Ecological Marxism</w:t>
      </w:r>
      <w:r>
        <w:rPr/>
        <w:t>. New York, NY: Guilford Press</w:t>
      </w:r>
      <w:bookmarkStart w:id="16" w:name="ref-oconnor_natural_1998"/>
      <w:bookmarkEnd w:id="16"/>
    </w:p>
    <w:p>
      <w:pPr>
        <w:pStyle w:val="Bibliography"/>
        <w:rPr/>
      </w:pPr>
      <w:r>
        <w:rPr/>
        <w:t xml:space="preserve">O’Neill, D.W., Fanning, A.L., Lamb, W.F., and Steinberger, J.K. (2018) ‘A Good Life for All Within Planetary Boundaries’. </w:t>
      </w:r>
      <w:r>
        <w:rPr>
          <w:i/>
        </w:rPr>
        <w:t>Nature Sustainability</w:t>
      </w:r>
      <w:r>
        <w:rPr/>
        <w:t xml:space="preserve"> [online] 1 (2), 88. available from &lt;</w:t>
      </w:r>
      <w:hyperlink r:id="rId7">
        <w:r>
          <w:rPr>
            <w:rStyle w:val="ListLabel46"/>
          </w:rPr>
          <w:t>https://www.nature.com/articles/s41893-018-0021-4</w:t>
        </w:r>
      </w:hyperlink>
      <w:r>
        <w:rPr/>
        <w:t>&gt; [7 March 2019]</w:t>
      </w:r>
      <w:bookmarkStart w:id="17" w:name="ref-oneill_good_2018"/>
      <w:bookmarkEnd w:id="17"/>
    </w:p>
    <w:p>
      <w:pPr>
        <w:pStyle w:val="Bibliography"/>
        <w:rPr/>
      </w:pPr>
      <w:r>
        <w:rPr/>
        <w:t xml:space="preserve">Quijano, A. (2000) ‘Coloniality of Power and Eurocentrism in Latin America’. </w:t>
      </w:r>
      <w:r>
        <w:rPr>
          <w:i/>
        </w:rPr>
        <w:t>International Sociology</w:t>
      </w:r>
      <w:r>
        <w:rPr/>
        <w:t xml:space="preserve"> 15 (2), 215–232</w:t>
      </w:r>
      <w:bookmarkStart w:id="18" w:name="ref-quijano_coloniality_2000"/>
      <w:bookmarkEnd w:id="18"/>
    </w:p>
    <w:p>
      <w:pPr>
        <w:pStyle w:val="Bibliography"/>
        <w:rPr/>
      </w:pPr>
      <w:r>
        <w:rPr/>
        <w:t xml:space="preserve">Raworth, K. (2017) </w:t>
      </w:r>
      <w:r>
        <w:rPr>
          <w:i/>
        </w:rPr>
        <w:t>Doughnut Economics: Seven Ways to Think Like a 21st-Century Economist</w:t>
      </w:r>
      <w:r>
        <w:rPr/>
        <w:t>. Reprint edition. Chelsea Green Publishing</w:t>
      </w:r>
      <w:bookmarkStart w:id="19" w:name="ref-raworth_doughnut_2017"/>
      <w:bookmarkEnd w:id="19"/>
    </w:p>
    <w:p>
      <w:pPr>
        <w:pStyle w:val="Bibliography"/>
        <w:rPr/>
      </w:pPr>
      <w:r>
        <w:rPr/>
        <w:t xml:space="preserve">Rockström, J., Steffen, W., Noone, K., Persson, Å., Chapin, F.S., Lambin, E.F., Lenton, T.M., Scheffer, M., Folke, C., Schellnhuber, H.J., Nykvist, B., de Wit, C.A., Hughes, T., van der Leeuw, S., Rodhe, H., Sörlin, S., Snyder, P.K., Costanza, R., Svedin, U., Falkenmark, M., Karlberg, L., Corell, R.W., Fabry, V.J., Hansen, J., Walker, B., Liverman, D., Richardson, K., Crutzen, P., and Foley, J.A. (2009) ‘Planetary Boundaries: Exploring the Safe Operating Space for Humanity’. </w:t>
      </w:r>
      <w:r>
        <w:rPr>
          <w:i/>
        </w:rPr>
        <w:t>Ecology and Society</w:t>
      </w:r>
      <w:r>
        <w:rPr/>
        <w:t xml:space="preserve"> [online] 14 (2), art. 32. available from &lt;</w:t>
      </w:r>
      <w:hyperlink r:id="rId8">
        <w:r>
          <w:rPr>
            <w:rStyle w:val="ListLabel46"/>
          </w:rPr>
          <w:t>http://www.ecologyandsociety.org/vol14/iss2/art32/</w:t>
        </w:r>
      </w:hyperlink>
      <w:r>
        <w:rPr/>
        <w:t>&gt; [6 August 2015]</w:t>
      </w:r>
      <w:bookmarkStart w:id="20" w:name="ref-rockstrom_planetary_2009"/>
      <w:bookmarkEnd w:id="20"/>
    </w:p>
    <w:p>
      <w:pPr>
        <w:pStyle w:val="Bibliography"/>
        <w:rPr/>
      </w:pPr>
      <w:r>
        <w:rPr/>
        <w:t xml:space="preserve">Supek, R. (1973) </w:t>
      </w:r>
      <w:r>
        <w:rPr>
          <w:i/>
        </w:rPr>
        <w:t>Ova Jedina Zemlja: Idemo Li U Katastrofu Ili U Treću Revoluciju?</w:t>
      </w:r>
      <w:r>
        <w:rPr/>
        <w:t xml:space="preserve"> Zagreb: Naprijed</w:t>
      </w:r>
      <w:bookmarkStart w:id="21" w:name="ref-supek_ova_1973"/>
      <w:bookmarkEnd w:id="21"/>
    </w:p>
    <w:p>
      <w:pPr>
        <w:pStyle w:val="Bibliography"/>
        <w:spacing w:lineRule="auto" w:line="288" w:before="0" w:after="80"/>
        <w:ind w:left="454" w:hanging="454"/>
        <w:jc w:val="left"/>
        <w:rPr/>
      </w:pPr>
      <w:r>
        <w:rPr/>
        <w:t xml:space="preserve">Tronto, J. (2005) ‘Care as the Work of Citizens: A Modest Proposal’. in </w:t>
      </w:r>
      <w:r>
        <w:rPr>
          <w:i/>
        </w:rPr>
        <w:t>Women and Citizenship</w:t>
      </w:r>
      <w:r>
        <w:rPr/>
        <w:t xml:space="preserve"> [online] ed. by Friedman, M. Oxford University Press, 130–145. available from &lt;</w:t>
      </w:r>
      <w:hyperlink r:id="rId9">
        <w:r>
          <w:rPr>
            <w:rStyle w:val="ListLabel46"/>
          </w:rPr>
          <w:t>https://www.oxfordscholarship.com/view/10.1093/0195175344.001.0001/acprof-9780195175349-chapter-8</w:t>
        </w:r>
      </w:hyperlink>
      <w:r>
        <w:rPr/>
        <w:t>&gt; [30 May 2019]</w:t>
      </w:r>
    </w:p>
    <w:sectPr>
      <w:headerReference w:type="default" r:id="rId10"/>
      <w:footerReference w:type="default" r:id="rId11"/>
      <w:type w:val="nextPage"/>
      <w:pgSz w:w="11906" w:h="16838"/>
      <w:pgMar w:left="1440" w:right="1440" w:header="720" w:top="1440" w:footer="72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alatino Linotype">
    <w:charset w:val="01"/>
    <w:family w:val="roman"/>
    <w:pitch w:val="variable"/>
  </w:font>
  <w:font w:name="Calibri">
    <w:charset w:val="01"/>
    <w:family w:val="roman"/>
    <w:pitch w:val="variable"/>
  </w:font>
  <w:font w:name="Sabon Next LT Pro">
    <w:charset w:val="01"/>
    <w:family w:val="roman"/>
    <w:pitch w:val="variable"/>
  </w:font>
  <w:font w:name="Consolas">
    <w:charset w:val="01"/>
    <w:family w:val="roman"/>
    <w:pitch w:val="variable"/>
  </w:font>
  <w:font w:name="Liberation Sans">
    <w:altName w:val="Arial"/>
    <w:charset w:val="01"/>
    <w:family w:val="roman"/>
    <w:pitch w:val="variable"/>
  </w:font>
  <w:font w:name="Palatino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r>
      <w:rPr/>
      <w:fldChar w:fldCharType="begin"/>
    </w:r>
    <w:r>
      <w:rPr/>
      <w:instrText> PAGE </w:instrText>
    </w:r>
    <w:r>
      <w:rPr/>
      <w:fldChar w:fldCharType="separate"/>
    </w:r>
    <w:r>
      <w:rPr/>
      <w:t>3</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0" w:leader="none"/>
        <w:tab w:val="center" w:pos="4513" w:leader="none"/>
        <w:tab w:val="right" w:pos="9021" w:leader="none"/>
        <w:tab w:val="right" w:pos="9026" w:leader="none"/>
      </w:tabs>
      <w:ind w:right="360" w:hanging="0"/>
      <w:jc w:val="left"/>
      <w:rPr/>
    </w:pPr>
    <w:r>
      <w:rPr>
        <w:spacing w:val="-12"/>
        <w:sz w:val="22"/>
        <w:szCs w:val="22"/>
        <w:lang w:val="en-GB"/>
      </w:rPr>
      <w:tab/>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p>
    <w:pPr>
      <w:pStyle w:val="Header"/>
      <w:tabs>
        <w:tab w:val="left" w:pos="0" w:leader="none"/>
        <w:tab w:val="center" w:pos="4513" w:leader="none"/>
        <w:tab w:val="right" w:pos="9021" w:leader="none"/>
        <w:tab w:val="right" w:pos="9026" w:leader="none"/>
      </w:tabs>
      <w:jc w:val="left"/>
      <w:rPr>
        <w:i/>
        <w:i/>
        <w:spacing w:val="-12"/>
        <w:sz w:val="22"/>
        <w:szCs w:val="22"/>
      </w:rPr>
    </w:pPr>
    <w:r>
      <w:rPr>
        <w:i/>
        <w:spacing w:val="-12"/>
        <w:sz w:val="22"/>
        <w:szCs w:val="22"/>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a75666"/>
    <w:pPr>
      <w:widowControl/>
      <w:bidi w:val="0"/>
      <w:spacing w:lineRule="auto" w:line="360" w:before="0" w:after="0"/>
      <w:jc w:val="both"/>
    </w:pPr>
    <w:rPr>
      <w:rFonts w:ascii="Palatino Linotype" w:hAnsi="Palatino Linotype" w:eastAsia="Cambria" w:cs="" w:cstheme="minorBidi" w:eastAsiaTheme="minorHAnsi"/>
      <w:color w:val="00000A"/>
      <w:kern w:val="0"/>
      <w:sz w:val="24"/>
      <w:szCs w:val="24"/>
      <w:lang w:val="en-US" w:eastAsia="en-US" w:bidi="ar-SA"/>
    </w:rPr>
  </w:style>
  <w:style w:type="paragraph" w:styleId="Heading1">
    <w:name w:val="Heading 1"/>
    <w:basedOn w:val="Normal"/>
    <w:uiPriority w:val="9"/>
    <w:qFormat/>
    <w:rsid w:val="00a75666"/>
    <w:pPr>
      <w:keepNext w:val="true"/>
      <w:keepLines/>
      <w:pageBreakBefore w:val="false"/>
      <w:bidi w:val="0"/>
      <w:spacing w:before="360" w:after="360"/>
      <w:jc w:val="left"/>
      <w:outlineLvl w:val="0"/>
    </w:pPr>
    <w:rPr>
      <w:rFonts w:eastAsia="" w:cs="" w:cstheme="majorBidi" w:eastAsiaTheme="majorEastAsia"/>
      <w:b/>
      <w:bCs/>
      <w:color w:val="000000" w:themeColor="text1"/>
      <w:sz w:val="28"/>
      <w:szCs w:val="32"/>
    </w:rPr>
  </w:style>
  <w:style w:type="paragraph" w:styleId="Heading2">
    <w:name w:val="Heading 2"/>
    <w:basedOn w:val="Normal"/>
    <w:uiPriority w:val="9"/>
    <w:unhideWhenUsed/>
    <w:qFormat/>
    <w:rsid w:val="00a75666"/>
    <w:pPr>
      <w:keepNext w:val="true"/>
      <w:keepLines/>
      <w:bidi w:val="0"/>
      <w:spacing w:before="480" w:after="0"/>
      <w:jc w:val="left"/>
      <w:outlineLvl w:val="1"/>
    </w:pPr>
    <w:rPr>
      <w:rFonts w:eastAsia="" w:cs="" w:cstheme="majorBidi" w:eastAsiaTheme="majorEastAsia"/>
      <w:b/>
      <w:bCs/>
      <w:color w:val="000000" w:themeColor="text1"/>
      <w:sz w:val="26"/>
      <w:szCs w:val="32"/>
    </w:rPr>
  </w:style>
  <w:style w:type="paragraph" w:styleId="Heading3">
    <w:name w:val="Heading 3"/>
    <w:basedOn w:val="Normal"/>
    <w:uiPriority w:val="9"/>
    <w:unhideWhenUsed/>
    <w:qFormat/>
    <w:pPr>
      <w:keepNext w:val="true"/>
      <w:keepLines/>
      <w:bidi w:val="0"/>
      <w:spacing w:before="200" w:after="0"/>
      <w:jc w:val="left"/>
      <w:outlineLvl w:val="2"/>
    </w:pPr>
    <w:rPr>
      <w:rFonts w:ascii="Palatino Linotype" w:hAnsi="Palatino Linotype" w:eastAsia="" w:cs="" w:cstheme="majorBidi" w:eastAsiaTheme="majorEastAsia"/>
      <w:b/>
      <w:bCs/>
      <w:i w:val="false"/>
      <w:iCs w:val="false"/>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Palatino Linotype" w:hAnsi="Palatino Linotype" w:eastAsia="" w:cs="" w:cstheme="majorBidi" w:eastAsiaTheme="majorEastAsia"/>
      <w:b/>
      <w:bCs/>
      <w:i/>
      <w:iCs/>
      <w:color w:val="000000"/>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sid w:val="005c1c4f"/>
    <w:rPr>
      <w:rFonts w:ascii="Sabon Next LT Pro" w:hAnsi="Sabon Next LT Pro"/>
      <w:sz w:val="22"/>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link w:val="BodyText"/>
    <w:qFormat/>
    <w:rsid w:val="00a75666"/>
    <w:rPr>
      <w:rFonts w:ascii="Palatino Linotype" w:hAnsi="Palatino Linotype"/>
    </w:rPr>
  </w:style>
  <w:style w:type="character" w:styleId="BodyTextFirstIndentChar" w:customStyle="1">
    <w:name w:val="Body Text First Indent Char"/>
    <w:basedOn w:val="BodyTextChar"/>
    <w:link w:val="BodyTextFirstIndent"/>
    <w:semiHidden/>
    <w:qFormat/>
    <w:rsid w:val="00a75451"/>
    <w:rPr>
      <w:rFonts w:ascii="Sabon Next LT Pro" w:hAnsi="Sabon Next LT Pro"/>
    </w:rPr>
  </w:style>
  <w:style w:type="character" w:styleId="HeaderChar" w:customStyle="1">
    <w:name w:val="Header Char"/>
    <w:basedOn w:val="DefaultParagraphFont"/>
    <w:link w:val="Header"/>
    <w:uiPriority w:val="99"/>
    <w:qFormat/>
    <w:rsid w:val="00b45438"/>
    <w:rPr>
      <w:rFonts w:ascii="Sabon Next LT Pro" w:hAnsi="Sabon Next LT Pro"/>
    </w:rPr>
  </w:style>
  <w:style w:type="character" w:styleId="FooterChar" w:customStyle="1">
    <w:name w:val="Footer Char"/>
    <w:basedOn w:val="DefaultParagraphFont"/>
    <w:link w:val="Footer"/>
    <w:qFormat/>
    <w:rsid w:val="00b45438"/>
    <w:rPr>
      <w:rFonts w:ascii="Sabon Next LT Pro" w:hAnsi="Sabon Next LT Pro"/>
    </w:rPr>
  </w:style>
  <w:style w:type="character" w:styleId="Pagenumber">
    <w:name w:val="page number"/>
    <w:basedOn w:val="DefaultParagraphFont"/>
    <w:semiHidden/>
    <w:unhideWhenUsed/>
    <w:qFormat/>
    <w:rsid w:val="00b4543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EndnoteAnchor">
    <w:name w:val="Endnote Anchor"/>
    <w:rPr>
      <w:vertAlign w:val="superscript"/>
    </w:rPr>
  </w:style>
  <w:style w:type="character" w:styleId="EndnoteCharacters">
    <w:name w:val="Endnote Characters"/>
    <w:qFormat/>
    <w:rPr/>
  </w:style>
  <w:style w:type="character" w:styleId="ListLabel45">
    <w:name w:val="ListLabel 45"/>
    <w:qFormat/>
    <w:rPr/>
  </w:style>
  <w:style w:type="character" w:styleId="ListLabel46">
    <w:name w:val="ListLabel 46"/>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rsid w:val="00a75666"/>
    <w:pPr>
      <w:ind w:firstLine="567"/>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rsid w:val="005b2a87"/>
    <w:pPr>
      <w:bidi w:val="0"/>
      <w:ind w:left="0" w:right="0" w:hanging="0"/>
      <w:jc w:val="left"/>
    </w:pPr>
    <w:rPr/>
  </w:style>
  <w:style w:type="paragraph" w:styleId="Compact" w:customStyle="1">
    <w:name w:val="Compact"/>
    <w:basedOn w:val="TextBody"/>
    <w:qFormat/>
    <w:rsid w:val="004c571c"/>
    <w:pPr>
      <w:bidi w:val="0"/>
      <w:spacing w:lineRule="auto" w:line="360"/>
      <w:ind w:hanging="0"/>
      <w:jc w:val="left"/>
    </w:pPr>
    <w:rPr/>
  </w:style>
  <w:style w:type="paragraph" w:styleId="Title">
    <w:name w:val="Title"/>
    <w:basedOn w:val="Normal"/>
    <w:qFormat/>
    <w:pPr>
      <w:keepNext w:val="true"/>
      <w:keepLines/>
      <w:bidi w:val="0"/>
      <w:spacing w:before="480" w:after="240"/>
      <w:jc w:val="center"/>
    </w:pPr>
    <w:rPr>
      <w:rFonts w:ascii="Palatino linotype" w:hAnsi="Palatino linotype" w:eastAsia="" w:cs="" w:cstheme="majorBidi" w:eastAsiaTheme="majorEastAsia"/>
      <w:b w:val="false"/>
      <w:bCs/>
      <w:i/>
      <w:color w:val="000000"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Palatino Linotype" w:hAnsi="Palatino Linotype"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Palatino Linotype" w:hAnsi="Palatino Linotype" w:eastAsia="Cambria" w:cs="" w:cstheme="minorBidi" w:eastAsiaTheme="minorHAnsi"/>
      <w:color w:val="00000A"/>
      <w:kern w:val="0"/>
      <w:sz w:val="24"/>
      <w:szCs w:val="24"/>
      <w:lang w:val="en-US" w:eastAsia="en-US" w:bidi="ar-SA"/>
    </w:rPr>
  </w:style>
  <w:style w:type="paragraph" w:styleId="Abstract" w:customStyle="1">
    <w:name w:val="Abstract"/>
    <w:basedOn w:val="Normal"/>
    <w:qFormat/>
    <w:pPr>
      <w:keepNext w:val="true"/>
      <w:keepLines/>
      <w:widowControl/>
      <w:bidi w:val="0"/>
      <w:spacing w:lineRule="auto" w:line="276" w:before="300" w:after="300"/>
      <w:ind w:left="720" w:right="720" w:hanging="0"/>
      <w:jc w:val="both"/>
    </w:pPr>
    <w:rPr>
      <w:sz w:val="22"/>
      <w:szCs w:val="22"/>
    </w:rPr>
  </w:style>
  <w:style w:type="paragraph" w:styleId="Bibliography">
    <w:name w:val="Bibliography"/>
    <w:basedOn w:val="Normal"/>
    <w:qFormat/>
    <w:rsid w:val="00a75666"/>
    <w:pPr>
      <w:spacing w:lineRule="auto" w:line="288" w:before="0" w:after="80"/>
      <w:ind w:left="454" w:hanging="454"/>
      <w:jc w:val="left"/>
    </w:pPr>
    <w:rPr/>
  </w:style>
  <w:style w:type="paragraph" w:styleId="BlockText">
    <w:name w:val="Block Text"/>
    <w:basedOn w:val="TextBody"/>
    <w:uiPriority w:val="9"/>
    <w:unhideWhenUsed/>
    <w:qFormat/>
    <w:rsid w:val="005b2a87"/>
    <w:pPr>
      <w:spacing w:before="80" w:after="80"/>
      <w:ind w:left="567" w:right="567" w:hanging="0"/>
      <w:contextualSpacing/>
    </w:pPr>
    <w:rPr>
      <w:rFonts w:eastAsia="" w:cs="" w:cstheme="majorBidi" w:eastAsiaTheme="majorEastAsia"/>
      <w:sz w:val="22"/>
      <w:szCs w:val="20"/>
    </w:rPr>
  </w:style>
  <w:style w:type="paragraph" w:styleId="Footnote">
    <w:name w:val="Footnote Text"/>
    <w:basedOn w:val="Normal"/>
    <w:uiPriority w:val="9"/>
    <w:unhideWhenUsed/>
    <w:qFormat/>
    <w:rsid w:val="00a75666"/>
    <w:pPr>
      <w:suppressLineNumbers/>
      <w:ind w:left="339" w:hanging="339"/>
    </w:pPr>
    <w:rPr>
      <w:sz w:val="20"/>
      <w:szCs w:val="20"/>
    </w:rPr>
  </w:style>
  <w:style w:type="paragraph" w:styleId="DefinitionTerm" w:customStyle="1">
    <w:name w:val="Definition Term"/>
    <w:basedOn w:val="Normal"/>
    <w:qFormat/>
    <w:pPr>
      <w:keepNext w:val="true"/>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rsid w:val="002c23ff"/>
    <w:pPr>
      <w:bidi w:val="0"/>
      <w:spacing w:lineRule="auto" w:line="240" w:before="115" w:after="576"/>
      <w:ind w:left="576" w:right="0" w:hanging="0"/>
      <w:jc w:val="left"/>
    </w:pPr>
    <w:rPr>
      <w:rFonts w:ascii="Palatino linotype" w:hAnsi="Palatino linotype"/>
      <w:b w:val="false"/>
      <w:i/>
      <w:sz w:val="22"/>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36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rsid w:val="005c1c4f"/>
    <w:pPr>
      <w:ind w:left="2835" w:hanging="0"/>
    </w:pPr>
    <w:rPr>
      <w:sz w:val="22"/>
    </w:rPr>
  </w:style>
  <w:style w:type="paragraph" w:styleId="TextBodyIndent">
    <w:name w:val="Body Text Indent"/>
    <w:basedOn w:val="TextBody"/>
    <w:link w:val="BodyTextFirstIndentChar"/>
    <w:semiHidden/>
    <w:unhideWhenUsed/>
    <w:qFormat/>
    <w:rsid w:val="00a75451"/>
    <w:pPr/>
    <w:rPr/>
  </w:style>
  <w:style w:type="paragraph" w:styleId="Header">
    <w:name w:val="Header"/>
    <w:basedOn w:val="Normal"/>
    <w:link w:val="HeaderChar"/>
    <w:uiPriority w:val="99"/>
    <w:unhideWhenUsed/>
    <w:rsid w:val="00b45438"/>
    <w:pPr>
      <w:tabs>
        <w:tab w:val="center" w:pos="4513" w:leader="none"/>
        <w:tab w:val="right" w:pos="9026" w:leader="none"/>
      </w:tabs>
      <w:bidi w:val="0"/>
      <w:spacing w:lineRule="auto" w:line="240"/>
      <w:jc w:val="left"/>
    </w:pPr>
    <w:rPr>
      <w:color w:val="A9A9A9"/>
    </w:rPr>
  </w:style>
  <w:style w:type="paragraph" w:styleId="Footer">
    <w:name w:val="Footer"/>
    <w:basedOn w:val="Normal"/>
    <w:link w:val="FooterChar"/>
    <w:unhideWhenUsed/>
    <w:rsid w:val="00b45438"/>
    <w:pPr>
      <w:tabs>
        <w:tab w:val="center" w:pos="4513" w:leader="none"/>
        <w:tab w:val="right" w:pos="9026" w:leader="none"/>
      </w:tabs>
      <w:spacing w:lineRule="auto" w:line="240"/>
      <w:ind w:right="360" w:hanging="0"/>
      <w:jc w:val="center"/>
    </w:pPr>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nnotationText">
    <w:name w:val="Annotation Text"/>
    <w:basedOn w:val="TextBody"/>
    <w:qFormat/>
    <w:pPr>
      <w:ind w:left="2268" w:hanging="0"/>
    </w:pPr>
    <w:rPr/>
  </w:style>
  <w:style w:type="paragraph" w:styleId="ListIndent">
    <w:name w:val="List Indent"/>
    <w:basedOn w:val="TextBody"/>
    <w:qFormat/>
    <w:pPr>
      <w:tabs>
        <w:tab w:val="left" w:pos="0" w:leader="none"/>
      </w:tabs>
      <w:ind w:left="2835" w:hanging="2551"/>
    </w:pPr>
    <w:rPr/>
  </w:style>
  <w:style w:type="paragraph" w:styleId="Addressee">
    <w:name w:val="Envelope Address"/>
    <w:basedOn w:val="Normal"/>
    <w:pPr>
      <w:suppressLineNumbers/>
      <w:spacing w:before="0" w:after="60"/>
    </w:pPr>
    <w:rPr/>
  </w:style>
  <w:style w:type="paragraph" w:styleId="Keywords">
    <w:name w:val="Keyword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cedirect.com/science/article/pii/S0921800919306160" TargetMode="External"/><Relationship Id="rId3" Type="http://schemas.openxmlformats.org/officeDocument/2006/relationships/hyperlink" Target="http://www.jstor.org/stable/24027184" TargetMode="External"/><Relationship Id="rId4" Type="http://schemas.openxmlformats.org/officeDocument/2006/relationships/hyperlink" Target="http://www.paecon.net/PAEReview/issue84/whole84.pdf" TargetMode="External"/><Relationship Id="rId5" Type="http://schemas.openxmlformats.org/officeDocument/2006/relationships/hyperlink" Target="https://doi.org/10.1080/13563467.2019.1598964" TargetMode="External"/><Relationship Id="rId6" Type="http://schemas.openxmlformats.org/officeDocument/2006/relationships/hyperlink" Target="http://www.jstor.org/stable/3984135" TargetMode="External"/><Relationship Id="rId7" Type="http://schemas.openxmlformats.org/officeDocument/2006/relationships/hyperlink" Target="https://www.nature.com/articles/s41893-018-0021-4" TargetMode="External"/><Relationship Id="rId8" Type="http://schemas.openxmlformats.org/officeDocument/2006/relationships/hyperlink" Target="http://www.ecologyandsociety.org/vol14/iss2/art32/" TargetMode="External"/><Relationship Id="rId9" Type="http://schemas.openxmlformats.org/officeDocument/2006/relationships/hyperlink" Target="https://www.oxfordscholarship.com/view/10.1093/0195175344.001.0001/acprof-9780195175349-chapter-8"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3</Pages>
  <Words>505</Words>
  <Characters>3284</Characters>
  <CharactersWithSpaces>3758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2019-11-11T08:50:18Z</dcterms:created>
  <dc:creator/>
  <dc:description/>
  <dc:language>en-US</dc:language>
  <cp:lastModifiedBy>Tomislav Medak</cp:lastModifiedBy>
  <dcterms:modified xsi:type="dcterms:W3CDTF">2019-11-15T00:35:25Z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.pandoc/bibliography/zotero_library_TMedak.bib</vt:lpwstr>
  </property>
  <property fmtid="{D5CDD505-2E9C-101B-9397-08002B2CF9AE}" pid="3" name="csl">
    <vt:lpwstr>.pandoc/csl/harvard-coventry-university.csl</vt:lpwstr>
  </property>
</Properties>
</file>