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Meissner Effect through HAOS / IIP / QATC 1. Standard Physics Description In superconductors, electrons form Cooper pairs that condense into a single macroscopic quantum state. When this coherent state forms, the electromagnetic field inside the material reorganizes so that magnetic flux is expelled from the interior. This phenomenon is known as the Meissner effect. The key point is that the superconducting state is not merely low resistance, but a new coherent phase of matter. 2. Interaction-Invariant Interpretation (IIP) From an IIP perspective, the superconducting phase represents a stable interaction configuration of the electron field and electromagnetic field. When coherence forms, the system selects a configuration that preserves interaction stability. Magnetic flux penetrating the interior would disrupt that coherence. Therefore the system reorganizes its field configuration so that flux lines are pushed out. The system is not “repelling magnetism” arbitrarily. It is preserving a stable interaction structure. 3. HAOS Principle: Recoverable Coherence HAOS defines reality operationally: A system is real if it maintains recoverable coherence under perturbation. The Meissner effect is a clear physical example of this principle. When external magnetic fields attempt to penetrate the superconductor, the system reorganizes its internal field structure so that coherence is preserved. In HAOS language: magnetic flux = perturbation superconducting condensate = coherent attractor state Meissner expulsion = recoverability mechanism The system actively maintains the configuration that preserves coherence. 4. QATC Interpretation: Harmonic Address Stabilization QATC describes stable systems as occupying harmonic addresses in the interaction field. A superconducting condensate can be interpreted as a highly coherent harmonic address formed by the collective electron field. When an incompatible field configuration (magnetic flux) appears, the system reorganizes to restore the harmonic structure. Thus the Meissner effect can be understood as: harmonic address protection through perturbation exclusion. 5. Why this matters conceptually This interpretation does not replace the physics of superconductivity. Instead, it provides a general structural description: coherent systems protect their stability by excluding incompatible perturbations. Examples of similar principles appear across physics: • superconductivity (Meissner effect) • topological protection in quantum matter • quantum error correction • coherent laser states All of these systems maintain stable coherent configurations under disturbance. 6. What this tells us about physical systems The Meissner effect shows that matter can reorganize itself into a state where: • coherence becomes a macroscopic property • perturbations are dynamically rejected • the system protects its internal interaction structure This is exactly the type of behavior HAOS predicts for stable physical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