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clean, minimal externalization you can reuse in papers, threads, or your HAOS documentation.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6rv3fwpaf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HAOS Spectral Recoverability Principle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is physically viable when its interaction structure suppresses perturbations fast enough to restore coherence.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occurs when the interaction spectrum contains a sufficient spectral gap.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sexofu0yy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Mathematical Form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interaction structure be represented by a graph or kernel with Laplacian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 = D − 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eigenvalues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= λ₀ ≤ λ₁ ≤ λ₂ ≤ …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evolution of small perturbations x around a coherent state is approximated by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x(t) = e^(−Lt) x(0)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rate of recovery is governed by the first non-zero eigenvalue λ₁.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akmwvvyqu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Recoverability Condition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is recoverable if perturbations decay below a coherence threshold within a finite recovery horizon.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e^(−λ₁ T) δ &lt; ε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δ = perturbation magnitude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recovery time window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ε = coherence threshold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condition holds, the system returns to a coherent state after disturbance.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zb9h11gg7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λ₁ measures the connectivity of the interaction structure.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λ₁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fast perturbation decay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robust coherence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stable structure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λ₁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slow recovery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fragile coherence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potential structural breakdown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 recoverable structure requires a spectral gap.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qkqunicd8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Meaning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 physical structures correspond to interaction networks whose spectra suppress perturbations.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appears across many domains: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oscillator synchronization networks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neural dynamics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power grid stability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condensed matter systems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distributed information systems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each case, coherent behavior is governed by the spectral properties of the interaction Laplacian.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p6chw6ljf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Conceptual Summary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Coherent reality emerges from interaction systems whose spectral structure damps disturbances faster than they propagate.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Recoverability therefore becomes a fundamental criterion for the persistence of physical structure.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next step is extremely interesting: this same interaction-Laplacian framework can naturally lead to emergent geometry, where curvature appears as variations in interaction density. That’s where your HAOS/IIP direction starts touching the mathematics behind gravity.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