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B4B7" w14:textId="77777777" w:rsidR="00D84CCD" w:rsidRPr="00D84CCD" w:rsidRDefault="00D84CCD" w:rsidP="00D84CCD">
      <w:pPr>
        <w:rPr>
          <w:b/>
          <w:bCs/>
        </w:rPr>
      </w:pPr>
      <w:r w:rsidRPr="00D84CCD">
        <w:rPr>
          <w:b/>
          <w:bCs/>
        </w:rPr>
        <w:t>Company Background and Problem Statement</w:t>
      </w:r>
    </w:p>
    <w:p w14:paraId="447E7678" w14:textId="77777777" w:rsidR="00D84CCD" w:rsidRPr="00D84CCD" w:rsidRDefault="00D84CCD" w:rsidP="00D84CCD">
      <w:r w:rsidRPr="00D84CCD">
        <w:t>1. Company Profile</w:t>
      </w:r>
    </w:p>
    <w:p w14:paraId="4293B6F4" w14:textId="77777777" w:rsidR="00D84CCD" w:rsidRPr="00D84CCD" w:rsidRDefault="00D84CCD" w:rsidP="00D84CCD">
      <w:pPr>
        <w:numPr>
          <w:ilvl w:val="0"/>
          <w:numId w:val="1"/>
        </w:numPr>
      </w:pPr>
      <w:r w:rsidRPr="00D84CCD">
        <w:rPr>
          <w:b/>
          <w:bCs/>
        </w:rPr>
        <w:t>Company Name:</w:t>
      </w:r>
      <w:r w:rsidRPr="00D84CCD">
        <w:t> Aegis Health Partners</w:t>
      </w:r>
    </w:p>
    <w:p w14:paraId="37DE94EB" w14:textId="77777777" w:rsidR="00D84CCD" w:rsidRPr="00D84CCD" w:rsidRDefault="00D84CCD" w:rsidP="00D84CCD">
      <w:pPr>
        <w:numPr>
          <w:ilvl w:val="0"/>
          <w:numId w:val="1"/>
        </w:numPr>
      </w:pPr>
      <w:r w:rsidRPr="00D84CCD">
        <w:rPr>
          <w:b/>
          <w:bCs/>
        </w:rPr>
        <w:t>Industry:</w:t>
      </w:r>
      <w:r w:rsidRPr="00D84CCD">
        <w:t> Healthcare (Telehealth &amp; Clinical Operations)</w:t>
      </w:r>
    </w:p>
    <w:p w14:paraId="7103D2E2" w14:textId="77777777" w:rsidR="00D84CCD" w:rsidRPr="00D84CCD" w:rsidRDefault="00D84CCD" w:rsidP="00D84CCD">
      <w:pPr>
        <w:numPr>
          <w:ilvl w:val="0"/>
          <w:numId w:val="1"/>
        </w:numPr>
      </w:pPr>
      <w:r w:rsidRPr="00D84CCD">
        <w:rPr>
          <w:b/>
          <w:bCs/>
        </w:rPr>
        <w:t>Size:</w:t>
      </w:r>
      <w:r w:rsidRPr="00D84CCD">
        <w:t> 1,200 employees</w:t>
      </w:r>
    </w:p>
    <w:p w14:paraId="3ABE2E4C" w14:textId="77777777" w:rsidR="00D84CCD" w:rsidRPr="00D84CCD" w:rsidRDefault="00D84CCD" w:rsidP="00D84CCD">
      <w:pPr>
        <w:numPr>
          <w:ilvl w:val="0"/>
          <w:numId w:val="1"/>
        </w:numPr>
      </w:pPr>
      <w:r w:rsidRPr="00D84CCD">
        <w:rPr>
          <w:b/>
          <w:bCs/>
        </w:rPr>
        <w:t>Locations:</w:t>
      </w:r>
      <w:r w:rsidRPr="00D84CCD">
        <w:t> Two main clinical hubs (Manila and Cebu) with over 400 distributed remote telehealth doctors working from home offices nationwide.</w:t>
      </w:r>
    </w:p>
    <w:p w14:paraId="2D02FFBD" w14:textId="77777777" w:rsidR="00D84CCD" w:rsidRPr="00D84CCD" w:rsidRDefault="00D84CCD" w:rsidP="00D84CCD">
      <w:pPr>
        <w:numPr>
          <w:ilvl w:val="0"/>
          <w:numId w:val="1"/>
        </w:numPr>
      </w:pPr>
      <w:r w:rsidRPr="00D84CCD">
        <w:rPr>
          <w:b/>
          <w:bCs/>
        </w:rPr>
        <w:t>Organizational Structure:</w:t>
      </w:r>
      <w:r w:rsidRPr="00D84CCD">
        <w:t> Led by a CEO, with four main operational pillars: Clinical Operations, Human Resources (using BambooHR), Finance &amp; Procurement (using Coupa ERP), and the Information Technology department led by the CIO.</w:t>
      </w:r>
    </w:p>
    <w:p w14:paraId="6719BF3D" w14:textId="77777777" w:rsidR="00D84CCD" w:rsidRPr="00D84CCD" w:rsidRDefault="00D84CCD" w:rsidP="00D84CCD">
      <w:pPr>
        <w:numPr>
          <w:ilvl w:val="0"/>
          <w:numId w:val="1"/>
        </w:numPr>
      </w:pPr>
      <w:r w:rsidRPr="00D84CCD">
        <w:rPr>
          <w:b/>
          <w:bCs/>
        </w:rPr>
        <w:t>Current IT Environment:</w:t>
      </w:r>
      <w:r w:rsidRPr="00D84CCD">
        <w:t xml:space="preserve"> The company relies on Microsoft 365, BambooHR for HRIS, Coupa for procurement, and </w:t>
      </w:r>
      <w:proofErr w:type="spellStart"/>
      <w:r w:rsidRPr="00D84CCD">
        <w:t>Jamf</w:t>
      </w:r>
      <w:proofErr w:type="spellEnd"/>
      <w:r w:rsidRPr="00D84CCD">
        <w:t>/Intune for MDM. IT Asset Management (ITAM) is heavily fragmented, relying on manual Google Sheets and legacy Access databases.</w:t>
      </w:r>
    </w:p>
    <w:p w14:paraId="61CA6F3C" w14:textId="77777777" w:rsidR="00D84CCD" w:rsidRPr="00D84CCD" w:rsidRDefault="00D84CCD" w:rsidP="00D84CCD">
      <w:r w:rsidRPr="00D84CCD">
        <w:t>2. Current State Assessment (AS-IS)</w:t>
      </w:r>
    </w:p>
    <w:p w14:paraId="2E1A361A" w14:textId="77777777" w:rsidR="00D84CCD" w:rsidRPr="00D84CCD" w:rsidRDefault="00D84CCD" w:rsidP="00D84CCD">
      <w:r w:rsidRPr="00D84CCD">
        <w:t>The current technology landscape is heavily siloed. The HRIS, Procurement ERP, and MDM systems do not communicate. Without a centralized Configuration Management Database (CMDB) or unified ITAM tool, IT staff act as the manual "glue" between systems.</w:t>
      </w:r>
    </w:p>
    <w:p w14:paraId="3E9A4D1A" w14:textId="77777777" w:rsidR="00D84CCD" w:rsidRPr="00D84CCD" w:rsidRDefault="00D84CCD" w:rsidP="00D84CCD">
      <w:r w:rsidRPr="00D84CCD">
        <w:rPr>
          <w:b/>
          <w:bCs/>
        </w:rPr>
        <w:t>Key AS-IS Workflows &amp; Bottlenecks:</w:t>
      </w:r>
    </w:p>
    <w:p w14:paraId="408CA720" w14:textId="77777777" w:rsidR="00D84CCD" w:rsidRPr="00D84CCD" w:rsidRDefault="00D84CCD" w:rsidP="00D84CCD">
      <w:pPr>
        <w:numPr>
          <w:ilvl w:val="0"/>
          <w:numId w:val="2"/>
        </w:numPr>
      </w:pPr>
      <w:r w:rsidRPr="00D84CCD">
        <w:rPr>
          <w:b/>
          <w:bCs/>
        </w:rPr>
        <w:t>Procurement &amp; Onboarding:</w:t>
      </w:r>
      <w:r w:rsidRPr="00D84CCD">
        <w:t> HR manually emails IT about new hires. IT manually requests equipment via Coupa, manually logs serial numbers into spreadsheets upon receipt, and ships them out. This causes a </w:t>
      </w:r>
      <w:proofErr w:type="gramStart"/>
      <w:r w:rsidRPr="00D84CCD">
        <w:rPr>
          <w:b/>
          <w:bCs/>
        </w:rPr>
        <w:t>3-5 day</w:t>
      </w:r>
      <w:proofErr w:type="gramEnd"/>
      <w:r w:rsidRPr="00D84CCD">
        <w:rPr>
          <w:b/>
          <w:bCs/>
        </w:rPr>
        <w:t xml:space="preserve"> delay</w:t>
      </w:r>
      <w:r w:rsidRPr="00D84CCD">
        <w:t> before a doctor can see patients.</w:t>
      </w:r>
    </w:p>
    <w:p w14:paraId="6EF457CE" w14:textId="77777777" w:rsidR="00D84CCD" w:rsidRPr="00D84CCD" w:rsidRDefault="00D84CCD" w:rsidP="00D84CCD">
      <w:pPr>
        <w:numPr>
          <w:ilvl w:val="0"/>
          <w:numId w:val="2"/>
        </w:numPr>
      </w:pPr>
      <w:r w:rsidRPr="00D84CCD">
        <w:rPr>
          <w:b/>
          <w:bCs/>
        </w:rPr>
        <w:t>Offboarding &amp; Asset Return:</w:t>
      </w:r>
      <w:r w:rsidRPr="00D84CCD">
        <w:t> When a doctor resigns, HR emails IT. IT manually emails the doctor a return address. This disjointed process has led to a </w:t>
      </w:r>
      <w:r w:rsidRPr="00D84CCD">
        <w:rPr>
          <w:b/>
          <w:bCs/>
        </w:rPr>
        <w:t>30% loss rate</w:t>
      </w:r>
      <w:r w:rsidRPr="00D84CCD">
        <w:t> of expensive remote assets (costing the company over $150,000 annually).</w:t>
      </w:r>
    </w:p>
    <w:p w14:paraId="2ED96A3B" w14:textId="77777777" w:rsidR="00D84CCD" w:rsidRPr="00D84CCD" w:rsidRDefault="00D84CCD" w:rsidP="00D84CCD">
      <w:pPr>
        <w:numPr>
          <w:ilvl w:val="0"/>
          <w:numId w:val="2"/>
        </w:numPr>
      </w:pPr>
      <w:r w:rsidRPr="00D84CCD">
        <w:rPr>
          <w:b/>
          <w:bCs/>
        </w:rPr>
        <w:t>Retirement &amp; Disposal:</w:t>
      </w:r>
      <w:r w:rsidRPr="00D84CCD">
        <w:t> E-waste recyclers return PDF "Certificates of Destruction" which sit unorganized in a shared inbox, creating massive </w:t>
      </w:r>
      <w:r w:rsidRPr="00D84CCD">
        <w:rPr>
          <w:b/>
          <w:bCs/>
        </w:rPr>
        <w:t>HIPAA compliance risks</w:t>
      </w:r>
      <w:r w:rsidRPr="00D84CCD">
        <w:t> regarding the disposal of devices containing Electronic Protected Health Information (ePHI).</w:t>
      </w:r>
    </w:p>
    <w:p w14:paraId="65CD1E97" w14:textId="77777777" w:rsidR="00D84CCD" w:rsidRPr="00D84CCD" w:rsidRDefault="00D84CCD" w:rsidP="00D84CCD">
      <w:r w:rsidRPr="00D84CCD">
        <w:t>3. Business Case</w:t>
      </w:r>
    </w:p>
    <w:p w14:paraId="091B79CD" w14:textId="77777777" w:rsidR="00D84CCD" w:rsidRPr="00D84CCD" w:rsidRDefault="00D84CCD" w:rsidP="00D84CCD">
      <w:r w:rsidRPr="00D84CCD">
        <w:t>The lack of a unified, automated ITAM system is causing severe financial hemorrhage, regulatory compliance risks, and operational inefficiencies.</w:t>
      </w:r>
    </w:p>
    <w:p w14:paraId="7E1C5302" w14:textId="77777777" w:rsidR="00D84CCD" w:rsidRPr="00D84CCD" w:rsidRDefault="00D84CCD" w:rsidP="00D84CCD">
      <w:r w:rsidRPr="00D84CCD">
        <w:rPr>
          <w:b/>
          <w:bCs/>
        </w:rPr>
        <w:t>Strategic Objectives:</w:t>
      </w:r>
    </w:p>
    <w:p w14:paraId="1FA97402" w14:textId="77777777" w:rsidR="00D84CCD" w:rsidRPr="00D84CCD" w:rsidRDefault="00D84CCD" w:rsidP="00D84CCD">
      <w:pPr>
        <w:numPr>
          <w:ilvl w:val="0"/>
          <w:numId w:val="3"/>
        </w:numPr>
      </w:pPr>
      <w:r w:rsidRPr="00D84CCD">
        <w:rPr>
          <w:b/>
          <w:bCs/>
        </w:rPr>
        <w:t>Ensure 100% HIPAA Compliance:</w:t>
      </w:r>
      <w:r w:rsidRPr="00D84CCD">
        <w:t> Automate the tracking and verification of data sanitization (cryptographic wipe certificates) for all endpoints containing ePHI.</w:t>
      </w:r>
    </w:p>
    <w:p w14:paraId="42D42301" w14:textId="77777777" w:rsidR="00D84CCD" w:rsidRPr="00D84CCD" w:rsidRDefault="00D84CCD" w:rsidP="00D84CCD">
      <w:pPr>
        <w:numPr>
          <w:ilvl w:val="0"/>
          <w:numId w:val="3"/>
        </w:numPr>
      </w:pPr>
      <w:r w:rsidRPr="00D84CCD">
        <w:rPr>
          <w:b/>
          <w:bCs/>
        </w:rPr>
        <w:lastRenderedPageBreak/>
        <w:t>Stop Financial Hemorrhage:</w:t>
      </w:r>
      <w:r w:rsidRPr="00D84CCD">
        <w:t> Drastically reduce the 30% loss rate of remote telehealth assets (saving ~$150k annually) by integrating HR offboarding triggers directly with automated return shipping logistics.</w:t>
      </w:r>
    </w:p>
    <w:p w14:paraId="5F4FB2A1" w14:textId="77777777" w:rsidR="00D84CCD" w:rsidRPr="00D84CCD" w:rsidRDefault="00D84CCD" w:rsidP="00D84CCD">
      <w:pPr>
        <w:numPr>
          <w:ilvl w:val="0"/>
          <w:numId w:val="3"/>
        </w:numPr>
      </w:pPr>
      <w:r w:rsidRPr="00D84CCD">
        <w:rPr>
          <w:b/>
          <w:bCs/>
        </w:rPr>
        <w:t>Achieve Zero-Touch Provisioning:</w:t>
      </w:r>
      <w:r w:rsidRPr="00D84CCD">
        <w:t> Eliminate manual data entry and synchronize data automatically between BambooHR, Coupa, and IT systems, saving an estimated 60 hours per week across departments.</w:t>
      </w:r>
    </w:p>
    <w:p w14:paraId="0F84BF74" w14:textId="77777777" w:rsidR="00D84CCD" w:rsidRPr="00D84CCD" w:rsidRDefault="00D84CCD" w:rsidP="00D84CCD">
      <w:r w:rsidRPr="00D84CCD">
        <w:rPr>
          <w:b/>
          <w:bCs/>
        </w:rPr>
        <w:t>Cost of Inaction:</w:t>
      </w:r>
      <w:r w:rsidRPr="00D84CCD">
        <w:t> If Aegis Health Partners does not act, the exponential growth of their remote doctor network will completely outpace the IT team's ability to track assets manually. This guarantees failure during the next medical regulatory audit (risking fines of $250,000+ per violation), escalating financial losses from stolen equipment, and high turnover from frustrated clinical staff hindered by hardware logistics.</w:t>
      </w:r>
    </w:p>
    <w:p w14:paraId="2178148E" w14:textId="77777777" w:rsidR="000B2455" w:rsidRDefault="000B2455"/>
    <w:sectPr w:rsidR="000B24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378D"/>
    <w:multiLevelType w:val="multilevel"/>
    <w:tmpl w:val="D7D0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AD5C00"/>
    <w:multiLevelType w:val="multilevel"/>
    <w:tmpl w:val="5FC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AC087A"/>
    <w:multiLevelType w:val="multilevel"/>
    <w:tmpl w:val="A10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6169913">
    <w:abstractNumId w:val="2"/>
  </w:num>
  <w:num w:numId="2" w16cid:durableId="235163750">
    <w:abstractNumId w:val="1"/>
  </w:num>
  <w:num w:numId="3" w16cid:durableId="115168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CD"/>
    <w:rsid w:val="000B2455"/>
    <w:rsid w:val="00886F65"/>
    <w:rsid w:val="00A6171A"/>
    <w:rsid w:val="00D84C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2456"/>
  <w15:chartTrackingRefBased/>
  <w15:docId w15:val="{10A661C3-DDF3-478F-9F7D-CDD56659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CCD"/>
    <w:rPr>
      <w:rFonts w:eastAsiaTheme="majorEastAsia" w:cstheme="majorBidi"/>
      <w:color w:val="272727" w:themeColor="text1" w:themeTint="D8"/>
    </w:rPr>
  </w:style>
  <w:style w:type="paragraph" w:styleId="Title">
    <w:name w:val="Title"/>
    <w:basedOn w:val="Normal"/>
    <w:next w:val="Normal"/>
    <w:link w:val="TitleChar"/>
    <w:uiPriority w:val="10"/>
    <w:qFormat/>
    <w:rsid w:val="00D8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CCD"/>
    <w:pPr>
      <w:spacing w:before="160"/>
      <w:jc w:val="center"/>
    </w:pPr>
    <w:rPr>
      <w:i/>
      <w:iCs/>
      <w:color w:val="404040" w:themeColor="text1" w:themeTint="BF"/>
    </w:rPr>
  </w:style>
  <w:style w:type="character" w:customStyle="1" w:styleId="QuoteChar">
    <w:name w:val="Quote Char"/>
    <w:basedOn w:val="DefaultParagraphFont"/>
    <w:link w:val="Quote"/>
    <w:uiPriority w:val="29"/>
    <w:rsid w:val="00D84CCD"/>
    <w:rPr>
      <w:i/>
      <w:iCs/>
      <w:color w:val="404040" w:themeColor="text1" w:themeTint="BF"/>
    </w:rPr>
  </w:style>
  <w:style w:type="paragraph" w:styleId="ListParagraph">
    <w:name w:val="List Paragraph"/>
    <w:basedOn w:val="Normal"/>
    <w:uiPriority w:val="34"/>
    <w:qFormat/>
    <w:rsid w:val="00D84CCD"/>
    <w:pPr>
      <w:ind w:left="720"/>
      <w:contextualSpacing/>
    </w:pPr>
  </w:style>
  <w:style w:type="character" w:styleId="IntenseEmphasis">
    <w:name w:val="Intense Emphasis"/>
    <w:basedOn w:val="DefaultParagraphFont"/>
    <w:uiPriority w:val="21"/>
    <w:qFormat/>
    <w:rsid w:val="00D84CCD"/>
    <w:rPr>
      <w:i/>
      <w:iCs/>
      <w:color w:val="0F4761" w:themeColor="accent1" w:themeShade="BF"/>
    </w:rPr>
  </w:style>
  <w:style w:type="paragraph" w:styleId="IntenseQuote">
    <w:name w:val="Intense Quote"/>
    <w:basedOn w:val="Normal"/>
    <w:next w:val="Normal"/>
    <w:link w:val="IntenseQuoteChar"/>
    <w:uiPriority w:val="30"/>
    <w:qFormat/>
    <w:rsid w:val="00D84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CCD"/>
    <w:rPr>
      <w:i/>
      <w:iCs/>
      <w:color w:val="0F4761" w:themeColor="accent1" w:themeShade="BF"/>
    </w:rPr>
  </w:style>
  <w:style w:type="character" w:styleId="IntenseReference">
    <w:name w:val="Intense Reference"/>
    <w:basedOn w:val="DefaultParagraphFont"/>
    <w:uiPriority w:val="32"/>
    <w:qFormat/>
    <w:rsid w:val="00D84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1</cp:revision>
  <dcterms:created xsi:type="dcterms:W3CDTF">2026-05-16T15:37:00Z</dcterms:created>
  <dcterms:modified xsi:type="dcterms:W3CDTF">2026-05-16T15:40:00Z</dcterms:modified>
</cp:coreProperties>
</file>