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DEF2" w14:textId="77777777" w:rsidR="00DF3147" w:rsidRPr="00DF3147" w:rsidRDefault="00DF3147" w:rsidP="00DF3147">
      <w:pPr>
        <w:rPr>
          <w:b/>
          <w:bCs/>
        </w:rPr>
      </w:pPr>
      <w:r w:rsidRPr="00DF3147">
        <w:rPr>
          <w:b/>
          <w:bCs/>
        </w:rPr>
        <w:t>Deliverable 3: TO-BE Application Architecture</w:t>
      </w:r>
    </w:p>
    <w:p w14:paraId="43FBC55B" w14:textId="4837B536" w:rsidR="00DF3147" w:rsidRPr="00DF3147" w:rsidRDefault="00DF3147" w:rsidP="00DF3147">
      <w:r w:rsidRPr="00DF3147">
        <w:rPr>
          <w:b/>
          <w:bCs/>
        </w:rPr>
        <w:t>Company:</w:t>
      </w:r>
      <w:r w:rsidRPr="00DF3147">
        <w:t> Aegis Health Partners</w:t>
      </w:r>
    </w:p>
    <w:p w14:paraId="2CCF0A87" w14:textId="77777777" w:rsidR="00DF3147" w:rsidRPr="00DF3147" w:rsidRDefault="00DF3147" w:rsidP="00DF3147">
      <w:r w:rsidRPr="00DF3147">
        <w:t>The Application Architecture maps the structural design of the new ITAM system. We utilize the </w:t>
      </w:r>
      <w:r w:rsidRPr="00DF3147">
        <w:rPr>
          <w:b/>
          <w:bCs/>
        </w:rPr>
        <w:t>C4 Model</w:t>
      </w:r>
      <w:r w:rsidRPr="00DF3147">
        <w:t> (Context, Container, and Component levels) to illustrate how systems interact, and </w:t>
      </w:r>
      <w:r w:rsidRPr="00DF3147">
        <w:rPr>
          <w:b/>
          <w:bCs/>
        </w:rPr>
        <w:t>Architecture Decision Records (ADRs)</w:t>
      </w:r>
      <w:r w:rsidRPr="00DF3147">
        <w:t> to justify the technical choices.</w:t>
      </w:r>
    </w:p>
    <w:p w14:paraId="1DD3A80C" w14:textId="77777777" w:rsidR="00DF3147" w:rsidRPr="00DF3147" w:rsidRDefault="00DF3147" w:rsidP="00DF3147">
      <w:pPr>
        <w:rPr>
          <w:b/>
          <w:bCs/>
        </w:rPr>
      </w:pPr>
      <w:r w:rsidRPr="00DF3147">
        <w:rPr>
          <w:b/>
          <w:bCs/>
        </w:rPr>
        <w:t>1. C4 Model Diagrams</w:t>
      </w:r>
    </w:p>
    <w:p w14:paraId="5BE2A761" w14:textId="77777777" w:rsidR="00DF3147" w:rsidRPr="00DF3147" w:rsidRDefault="00DF3147" w:rsidP="00DF3147">
      <w:r w:rsidRPr="00DF3147">
        <w:t>Level 1: System Context Diagram</w:t>
      </w:r>
    </w:p>
    <w:p w14:paraId="213C17F8" w14:textId="77777777" w:rsidR="00DF3147" w:rsidRPr="00DF3147" w:rsidRDefault="00DF3147" w:rsidP="00DF3147">
      <w:r w:rsidRPr="00DF3147">
        <w:rPr>
          <w:i/>
          <w:iCs/>
        </w:rPr>
        <w:t>This diagram shows the "big picture"—how the Unified ITAM system fits into the Aegis Health Partners ecosystem alongside external SaaS platforms and human actors.</w:t>
      </w:r>
    </w:p>
    <w:p w14:paraId="348EC35D" w14:textId="77777777" w:rsidR="000B2455" w:rsidRDefault="000B2455"/>
    <w:p w14:paraId="6F48085E" w14:textId="18E75706" w:rsidR="00DF3147" w:rsidRDefault="00DF3147">
      <w:r w:rsidRPr="00DF3147">
        <w:drawing>
          <wp:inline distT="0" distB="0" distL="0" distR="0" wp14:anchorId="7E0238A0" wp14:editId="16BA3EDC">
            <wp:extent cx="5943600" cy="3390900"/>
            <wp:effectExtent l="0" t="0" r="0" b="0"/>
            <wp:docPr id="11542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6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D0E8" w14:textId="77777777" w:rsidR="00DF3147" w:rsidRDefault="00DF3147"/>
    <w:p w14:paraId="7F96F995" w14:textId="77777777" w:rsidR="00DF3147" w:rsidRDefault="00DF3147" w:rsidP="00DF3147"/>
    <w:p w14:paraId="1D7B2E03" w14:textId="77777777" w:rsidR="00DF3147" w:rsidRDefault="00DF3147" w:rsidP="00DF3147"/>
    <w:p w14:paraId="4BB612C9" w14:textId="77777777" w:rsidR="00DF3147" w:rsidRDefault="00DF3147" w:rsidP="00DF3147"/>
    <w:p w14:paraId="27F74B27" w14:textId="77777777" w:rsidR="00DF3147" w:rsidRDefault="00DF3147" w:rsidP="00DF3147"/>
    <w:p w14:paraId="1DFDE039" w14:textId="77777777" w:rsidR="00DF3147" w:rsidRDefault="00DF3147" w:rsidP="00DF3147"/>
    <w:p w14:paraId="35550FFF" w14:textId="77777777" w:rsidR="00DF3147" w:rsidRDefault="00DF3147" w:rsidP="00DF3147"/>
    <w:p w14:paraId="6A8677EB" w14:textId="77777777" w:rsidR="00DF3147" w:rsidRDefault="00DF3147" w:rsidP="00DF3147"/>
    <w:p w14:paraId="6E82C6F2" w14:textId="1B536CED" w:rsidR="00DF3147" w:rsidRPr="00DF3147" w:rsidRDefault="00DF3147" w:rsidP="00DF3147">
      <w:r>
        <w:lastRenderedPageBreak/>
        <w:t>L</w:t>
      </w:r>
      <w:r w:rsidRPr="00DF3147">
        <w:t>evel 2: Container Diagram</w:t>
      </w:r>
    </w:p>
    <w:p w14:paraId="2A1724DB" w14:textId="77777777" w:rsidR="00DF3147" w:rsidRPr="00DF3147" w:rsidRDefault="00DF3147" w:rsidP="00DF3147">
      <w:r w:rsidRPr="00DF3147">
        <w:rPr>
          <w:i/>
          <w:iCs/>
        </w:rPr>
        <w:t>This diagram opens up the "Unified ITAM Intelligence System" box to show the high-level technical containers (microservices, API gateways, and databases) that make it work.</w:t>
      </w:r>
    </w:p>
    <w:p w14:paraId="6BDFBB32" w14:textId="77777777" w:rsidR="00DF3147" w:rsidRDefault="00DF3147"/>
    <w:p w14:paraId="05C06202" w14:textId="02CAB778" w:rsidR="00DF3147" w:rsidRDefault="00DF3147">
      <w:r w:rsidRPr="00DF3147">
        <w:drawing>
          <wp:inline distT="0" distB="0" distL="0" distR="0" wp14:anchorId="35ED2DF7" wp14:editId="4856E50D">
            <wp:extent cx="5943600" cy="3118485"/>
            <wp:effectExtent l="0" t="0" r="0" b="5715"/>
            <wp:docPr id="18221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2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8B29" w14:textId="77777777" w:rsidR="00DF3147" w:rsidRDefault="00DF3147"/>
    <w:p w14:paraId="5259CFF3" w14:textId="77777777" w:rsidR="00DF3147" w:rsidRDefault="00DF3147" w:rsidP="00DF3147"/>
    <w:p w14:paraId="34E99A1D" w14:textId="77777777" w:rsidR="00DF3147" w:rsidRDefault="00DF3147" w:rsidP="00DF3147"/>
    <w:p w14:paraId="62EE4A8F" w14:textId="77777777" w:rsidR="00DF3147" w:rsidRDefault="00DF3147" w:rsidP="00DF3147"/>
    <w:p w14:paraId="5E44979C" w14:textId="77777777" w:rsidR="00DF3147" w:rsidRDefault="00DF3147" w:rsidP="00DF3147"/>
    <w:p w14:paraId="2B7CAEC2" w14:textId="77777777" w:rsidR="00DF3147" w:rsidRDefault="00DF3147" w:rsidP="00DF3147"/>
    <w:p w14:paraId="34C4D9F6" w14:textId="77777777" w:rsidR="00DF3147" w:rsidRDefault="00DF3147" w:rsidP="00DF3147"/>
    <w:p w14:paraId="0722DE27" w14:textId="77777777" w:rsidR="00DF3147" w:rsidRDefault="00DF3147" w:rsidP="00DF3147"/>
    <w:p w14:paraId="2DC441DA" w14:textId="77777777" w:rsidR="00DF3147" w:rsidRDefault="00DF3147" w:rsidP="00DF3147"/>
    <w:p w14:paraId="0EE23F83" w14:textId="77777777" w:rsidR="00DF3147" w:rsidRDefault="00DF3147" w:rsidP="00DF3147"/>
    <w:p w14:paraId="7E50164A" w14:textId="77777777" w:rsidR="00DF3147" w:rsidRDefault="00DF3147" w:rsidP="00DF3147"/>
    <w:p w14:paraId="3C120D7C" w14:textId="77777777" w:rsidR="00DF3147" w:rsidRDefault="00DF3147" w:rsidP="00DF3147"/>
    <w:p w14:paraId="4D5787CE" w14:textId="77777777" w:rsidR="00DF3147" w:rsidRDefault="00DF3147" w:rsidP="00DF3147"/>
    <w:p w14:paraId="095AAE69" w14:textId="77777777" w:rsidR="00DF3147" w:rsidRDefault="00DF3147" w:rsidP="00DF3147"/>
    <w:p w14:paraId="63C196BE" w14:textId="3201C7CC" w:rsidR="00DF3147" w:rsidRPr="00DF3147" w:rsidRDefault="00DF3147" w:rsidP="00DF3147">
      <w:r w:rsidRPr="00DF3147">
        <w:lastRenderedPageBreak/>
        <w:t>Level 3: Component Diagram (Event-Driven Middleware)</w:t>
      </w:r>
    </w:p>
    <w:p w14:paraId="14C0D450" w14:textId="77777777" w:rsidR="00DF3147" w:rsidRPr="00DF3147" w:rsidRDefault="00DF3147" w:rsidP="00DF3147">
      <w:r w:rsidRPr="00DF3147">
        <w:rPr>
          <w:i/>
          <w:iCs/>
        </w:rPr>
        <w:t>This diagram zooms strictly into the </w:t>
      </w:r>
      <w:r w:rsidRPr="00DF3147">
        <w:rPr>
          <w:b/>
          <w:bCs/>
          <w:i/>
          <w:iCs/>
        </w:rPr>
        <w:t>Event-Driven Middleware</w:t>
      </w:r>
      <w:r w:rsidRPr="00DF3147">
        <w:rPr>
          <w:i/>
          <w:iCs/>
        </w:rPr>
        <w:t> container to show how the codebase handles incoming data without dropping payloads.</w:t>
      </w:r>
    </w:p>
    <w:p w14:paraId="7E9E77BA" w14:textId="77777777" w:rsidR="00DF3147" w:rsidRDefault="00DF3147"/>
    <w:p w14:paraId="1C42E7DF" w14:textId="2858F61C" w:rsidR="00DF3147" w:rsidRDefault="00DF3147">
      <w:r w:rsidRPr="00DF3147">
        <w:drawing>
          <wp:inline distT="0" distB="0" distL="0" distR="0" wp14:anchorId="77E64E6F" wp14:editId="5828C0B1">
            <wp:extent cx="5943600" cy="3299460"/>
            <wp:effectExtent l="0" t="0" r="0" b="0"/>
            <wp:docPr id="4263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28A7" w14:textId="77777777" w:rsidR="00DF3147" w:rsidRDefault="00DF3147"/>
    <w:p w14:paraId="7B39666A" w14:textId="77777777" w:rsidR="00DF3147" w:rsidRPr="00DF3147" w:rsidRDefault="00DF3147" w:rsidP="00DF3147">
      <w:pPr>
        <w:rPr>
          <w:b/>
          <w:bCs/>
        </w:rPr>
      </w:pPr>
      <w:r w:rsidRPr="00DF3147">
        <w:rPr>
          <w:b/>
          <w:bCs/>
        </w:rPr>
        <w:t>2. Architecture Decision Records (ADRs)</w:t>
      </w:r>
    </w:p>
    <w:p w14:paraId="641AF8BA" w14:textId="77777777" w:rsidR="00DF3147" w:rsidRPr="00DF3147" w:rsidRDefault="00DF3147" w:rsidP="00DF3147">
      <w:r w:rsidRPr="00DF3147">
        <w:t>To justify the technical choices made in the C4 models, we formally document the following decisions:</w:t>
      </w:r>
    </w:p>
    <w:p w14:paraId="79C4DA19" w14:textId="77777777" w:rsidR="00DF3147" w:rsidRPr="00DF3147" w:rsidRDefault="00DF3147" w:rsidP="00DF3147">
      <w:r w:rsidRPr="00DF3147">
        <w:t>ADR 001: Implement Polyglot Persistence instead of Monolithic SQL</w:t>
      </w:r>
    </w:p>
    <w:p w14:paraId="0FEFEBD1" w14:textId="77777777" w:rsidR="00DF3147" w:rsidRPr="00DF3147" w:rsidRDefault="00DF3147" w:rsidP="00DF3147">
      <w:pPr>
        <w:numPr>
          <w:ilvl w:val="0"/>
          <w:numId w:val="1"/>
        </w:numPr>
      </w:pPr>
      <w:r w:rsidRPr="00DF3147">
        <w:rPr>
          <w:b/>
          <w:bCs/>
        </w:rPr>
        <w:t>Context:</w:t>
      </w:r>
      <w:r w:rsidRPr="00DF3147">
        <w:t> Aegis requires the storage of heavy compliance PDFs (ePHI Wipe Certificates) and high-velocity telemetry (MDM battery cycles). Storing these in Snipe-IT's core Postgres database will cause locking and degrade application performance.</w:t>
      </w:r>
    </w:p>
    <w:p w14:paraId="023678C9" w14:textId="77777777" w:rsidR="00DF3147" w:rsidRPr="00DF3147" w:rsidRDefault="00DF3147" w:rsidP="00DF3147">
      <w:pPr>
        <w:numPr>
          <w:ilvl w:val="0"/>
          <w:numId w:val="1"/>
        </w:numPr>
      </w:pPr>
      <w:r w:rsidRPr="00DF3147">
        <w:rPr>
          <w:b/>
          <w:bCs/>
        </w:rPr>
        <w:t>Decision:</w:t>
      </w:r>
      <w:r w:rsidRPr="00DF3147">
        <w:t xml:space="preserve"> Implement a Polyglot Persistence layer utilizing PostgreSQL (Relational), MongoDB (Document), </w:t>
      </w:r>
      <w:proofErr w:type="spellStart"/>
      <w:r w:rsidRPr="00DF3147">
        <w:t>InfluxDB</w:t>
      </w:r>
      <w:proofErr w:type="spellEnd"/>
      <w:r w:rsidRPr="00DF3147">
        <w:t xml:space="preserve"> (Time-Series), and Neo4j (Graph).</w:t>
      </w:r>
    </w:p>
    <w:p w14:paraId="7EC471E9" w14:textId="77777777" w:rsidR="00DF3147" w:rsidRPr="00DF3147" w:rsidRDefault="00DF3147" w:rsidP="00DF3147">
      <w:pPr>
        <w:numPr>
          <w:ilvl w:val="0"/>
          <w:numId w:val="1"/>
        </w:numPr>
      </w:pPr>
      <w:r w:rsidRPr="00DF3147">
        <w:rPr>
          <w:b/>
          <w:bCs/>
        </w:rPr>
        <w:t>Consequences:</w:t>
      </w:r>
      <w:r w:rsidRPr="00DF3147">
        <w:t> This increases the deployment and infrastructure complexity. However, it ensures HIPAA audit queries are instantly retrievable and AI models can query time-series data without crashing the primary inventory database.</w:t>
      </w:r>
    </w:p>
    <w:p w14:paraId="5152EF02" w14:textId="77777777" w:rsidR="00DF3147" w:rsidRPr="00DF3147" w:rsidRDefault="00DF3147" w:rsidP="00DF3147">
      <w:r w:rsidRPr="00DF3147">
        <w:t>ADR 002: Utilize Event-Driven Architecture (Kafka) for Interoperability</w:t>
      </w:r>
    </w:p>
    <w:p w14:paraId="75A7F7C4" w14:textId="77777777" w:rsidR="00DF3147" w:rsidRPr="00DF3147" w:rsidRDefault="00DF3147" w:rsidP="00DF3147">
      <w:pPr>
        <w:numPr>
          <w:ilvl w:val="0"/>
          <w:numId w:val="2"/>
        </w:numPr>
      </w:pPr>
      <w:r w:rsidRPr="00DF3147">
        <w:rPr>
          <w:b/>
          <w:bCs/>
        </w:rPr>
        <w:t>Context:</w:t>
      </w:r>
      <w:r w:rsidRPr="00DF3147">
        <w:t> Webhooks from BambooHR and the MDM arrive at unpredictable volumes, especially during mass doctor onboarding/offboarding phases.</w:t>
      </w:r>
    </w:p>
    <w:p w14:paraId="47D90474" w14:textId="77777777" w:rsidR="00DF3147" w:rsidRPr="00DF3147" w:rsidRDefault="00DF3147" w:rsidP="00DF3147">
      <w:pPr>
        <w:numPr>
          <w:ilvl w:val="0"/>
          <w:numId w:val="2"/>
        </w:numPr>
      </w:pPr>
      <w:r w:rsidRPr="00DF3147">
        <w:rPr>
          <w:b/>
          <w:bCs/>
        </w:rPr>
        <w:lastRenderedPageBreak/>
        <w:t>Decision:</w:t>
      </w:r>
      <w:r w:rsidRPr="00DF3147">
        <w:t> Introduce an API Gateway and an Apache Kafka event bus to buffer and route messages asynchronously.</w:t>
      </w:r>
    </w:p>
    <w:p w14:paraId="6B8C9F7E" w14:textId="77777777" w:rsidR="00DF3147" w:rsidRPr="00DF3147" w:rsidRDefault="00DF3147" w:rsidP="00DF3147">
      <w:pPr>
        <w:numPr>
          <w:ilvl w:val="0"/>
          <w:numId w:val="2"/>
        </w:numPr>
      </w:pPr>
      <w:r w:rsidRPr="00DF3147">
        <w:rPr>
          <w:b/>
          <w:bCs/>
        </w:rPr>
        <w:t>Consequences:</w:t>
      </w:r>
      <w:r w:rsidRPr="00DF3147">
        <w:t> If the Snipe-IT database goes offline for maintenance, incoming HR events are safely queued in Kafka and processed later, ensuring </w:t>
      </w:r>
      <w:r w:rsidRPr="00DF3147">
        <w:rPr>
          <w:b/>
          <w:bCs/>
        </w:rPr>
        <w:t>zero data loss</w:t>
      </w:r>
      <w:r w:rsidRPr="00DF3147">
        <w:t> during clinical logistics flows.</w:t>
      </w:r>
    </w:p>
    <w:p w14:paraId="0CCF9E50" w14:textId="77777777" w:rsidR="00DF3147" w:rsidRPr="00DF3147" w:rsidRDefault="00DF3147" w:rsidP="00DF3147">
      <w:r w:rsidRPr="00DF3147">
        <w:t>ADR 003: Utilize Temporal.io for Long-Running Logistics Workflows</w:t>
      </w:r>
    </w:p>
    <w:p w14:paraId="13F90828" w14:textId="77777777" w:rsidR="00DF3147" w:rsidRPr="00DF3147" w:rsidRDefault="00DF3147" w:rsidP="00DF3147">
      <w:pPr>
        <w:numPr>
          <w:ilvl w:val="0"/>
          <w:numId w:val="3"/>
        </w:numPr>
      </w:pPr>
      <w:r w:rsidRPr="00DF3147">
        <w:rPr>
          <w:b/>
          <w:bCs/>
        </w:rPr>
        <w:t>Context:</w:t>
      </w:r>
      <w:r w:rsidRPr="00DF3147">
        <w:t xml:space="preserve"> Offboarding a remote doctor takes days. The system must "sleep" while waiting for the doctor to ship the physical FedEx box and wake up to check the tracking status. Standard </w:t>
      </w:r>
      <w:proofErr w:type="spellStart"/>
      <w:r w:rsidRPr="00DF3147">
        <w:t>cron</w:t>
      </w:r>
      <w:proofErr w:type="spellEnd"/>
      <w:r w:rsidRPr="00DF3147">
        <w:t xml:space="preserve"> jobs are difficult to scale and monitor for this purpose.</w:t>
      </w:r>
    </w:p>
    <w:p w14:paraId="53BA96A2" w14:textId="77777777" w:rsidR="00DF3147" w:rsidRPr="00DF3147" w:rsidRDefault="00DF3147" w:rsidP="00DF3147">
      <w:pPr>
        <w:numPr>
          <w:ilvl w:val="0"/>
          <w:numId w:val="3"/>
        </w:numPr>
      </w:pPr>
      <w:r w:rsidRPr="00DF3147">
        <w:rPr>
          <w:b/>
          <w:bCs/>
        </w:rPr>
        <w:t>Decision:</w:t>
      </w:r>
      <w:r w:rsidRPr="00DF3147">
        <w:t> Use Temporal.io to manage stateful, long-running offboarding workflows.</w:t>
      </w:r>
    </w:p>
    <w:p w14:paraId="3831B638" w14:textId="77777777" w:rsidR="00DF3147" w:rsidRPr="00DF3147" w:rsidRDefault="00DF3147" w:rsidP="00DF3147">
      <w:pPr>
        <w:numPr>
          <w:ilvl w:val="0"/>
          <w:numId w:val="3"/>
        </w:numPr>
      </w:pPr>
      <w:r w:rsidRPr="00DF3147">
        <w:rPr>
          <w:b/>
          <w:bCs/>
        </w:rPr>
        <w:t>Consequences:</w:t>
      </w:r>
      <w:r w:rsidRPr="00DF3147">
        <w:t> Eliminates manual follow-up emails from IT staff. The system natively handles retries, timeouts, and automated escalations (like triggering a payroll deduction hold) if the hardware remains unreturned after 14 days.</w:t>
      </w:r>
    </w:p>
    <w:p w14:paraId="54BD2267" w14:textId="77777777" w:rsidR="00DF3147" w:rsidRDefault="00DF3147"/>
    <w:sectPr w:rsidR="00DF31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2F77"/>
    <w:multiLevelType w:val="multilevel"/>
    <w:tmpl w:val="28F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887FC5"/>
    <w:multiLevelType w:val="multilevel"/>
    <w:tmpl w:val="F1A0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867C19"/>
    <w:multiLevelType w:val="multilevel"/>
    <w:tmpl w:val="287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022793">
    <w:abstractNumId w:val="1"/>
  </w:num>
  <w:num w:numId="2" w16cid:durableId="501362067">
    <w:abstractNumId w:val="2"/>
  </w:num>
  <w:num w:numId="3" w16cid:durableId="18577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47"/>
    <w:rsid w:val="000B2455"/>
    <w:rsid w:val="00886F65"/>
    <w:rsid w:val="00A6171A"/>
    <w:rsid w:val="00DF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9363"/>
  <w15:chartTrackingRefBased/>
  <w15:docId w15:val="{32B3E2B5-FD7D-4DF6-A370-5A4AD9B5E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2026-05-16T16:08:00Z</dcterms:created>
  <dcterms:modified xsi:type="dcterms:W3CDTF">2026-05-16T16:14:00Z</dcterms:modified>
</cp:coreProperties>
</file>