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7C33" w14:textId="77777777" w:rsidR="00E45BB0" w:rsidRPr="00E45BB0" w:rsidRDefault="00E45BB0" w:rsidP="00E45BB0">
      <w:pPr>
        <w:rPr>
          <w:b/>
          <w:bCs/>
        </w:rPr>
      </w:pPr>
      <w:r w:rsidRPr="00E45BB0">
        <w:rPr>
          <w:b/>
          <w:bCs/>
        </w:rPr>
        <w:t>Deliverable 6: Implementation Roadmap</w:t>
      </w:r>
    </w:p>
    <w:p w14:paraId="58916815" w14:textId="100B7C7D" w:rsidR="00E45BB0" w:rsidRPr="00E45BB0" w:rsidRDefault="00E45BB0" w:rsidP="00E45BB0">
      <w:r w:rsidRPr="00E45BB0">
        <w:rPr>
          <w:b/>
          <w:bCs/>
        </w:rPr>
        <w:t>Company:</w:t>
      </w:r>
      <w:r w:rsidRPr="00E45BB0">
        <w:t> Aegis Health Partners</w:t>
      </w:r>
    </w:p>
    <w:p w14:paraId="5D52CC43" w14:textId="77777777" w:rsidR="00E45BB0" w:rsidRPr="00E45BB0" w:rsidRDefault="00E45BB0" w:rsidP="00E45BB0">
      <w:r w:rsidRPr="00E45BB0">
        <w:t>Transforming Aegis Health Partners from manual spreadsheets to an AI-driven, Event-Based Polyglot architecture cannot happen overnight. This </w:t>
      </w:r>
      <w:r w:rsidRPr="00E45BB0">
        <w:rPr>
          <w:b/>
          <w:bCs/>
        </w:rPr>
        <w:t>Implementation Roadmap</w:t>
      </w:r>
      <w:r w:rsidRPr="00E45BB0">
        <w:t> outlines a strategic, phased rollout to minimize operational disruption to the telehealth doctors while progressively unlocking value.</w:t>
      </w:r>
    </w:p>
    <w:p w14:paraId="4C730FFD" w14:textId="77777777" w:rsidR="00E45BB0" w:rsidRPr="00E45BB0" w:rsidRDefault="00E45BB0" w:rsidP="00E45BB0">
      <w:pPr>
        <w:rPr>
          <w:b/>
          <w:bCs/>
        </w:rPr>
      </w:pPr>
      <w:r w:rsidRPr="00E45BB0">
        <w:rPr>
          <w:b/>
          <w:bCs/>
        </w:rPr>
        <w:t>1. Project Phases</w:t>
      </w:r>
    </w:p>
    <w:p w14:paraId="75393B18" w14:textId="77777777" w:rsidR="00E45BB0" w:rsidRPr="00E45BB0" w:rsidRDefault="00E45BB0" w:rsidP="00E45BB0">
      <w:r w:rsidRPr="00E45BB0">
        <w:t>The transformation is divided into three distinct phases to ensure stability before adding complexity:</w:t>
      </w:r>
    </w:p>
    <w:p w14:paraId="2F9CEDEC" w14:textId="77777777" w:rsidR="00E45BB0" w:rsidRPr="00E45BB0" w:rsidRDefault="00E45BB0" w:rsidP="00E45BB0">
      <w:pPr>
        <w:numPr>
          <w:ilvl w:val="0"/>
          <w:numId w:val="1"/>
        </w:numPr>
      </w:pPr>
      <w:r w:rsidRPr="00E45BB0">
        <w:rPr>
          <w:b/>
          <w:bCs/>
        </w:rPr>
        <w:t>Phase 1: Foundation (Core Identity &amp; Asset Migration)</w:t>
      </w:r>
    </w:p>
    <w:p w14:paraId="32604749" w14:textId="77777777" w:rsidR="00E45BB0" w:rsidRPr="00E45BB0" w:rsidRDefault="00E45BB0" w:rsidP="00E45BB0">
      <w:pPr>
        <w:numPr>
          <w:ilvl w:val="1"/>
          <w:numId w:val="1"/>
        </w:numPr>
      </w:pPr>
      <w:r w:rsidRPr="00E45BB0">
        <w:rPr>
          <w:i/>
          <w:iCs/>
        </w:rPr>
        <w:t>Focus:</w:t>
      </w:r>
      <w:r w:rsidRPr="00E45BB0">
        <w:t> Standing up the AWS EKS environment, deploying the core Snipe-IT (PostgreSQL) database, and the massive effort of sanitizing and migrating the legacy Google Sheets data.</w:t>
      </w:r>
    </w:p>
    <w:p w14:paraId="329B791D" w14:textId="77777777" w:rsidR="00E45BB0" w:rsidRPr="00E45BB0" w:rsidRDefault="00E45BB0" w:rsidP="00E45BB0">
      <w:pPr>
        <w:numPr>
          <w:ilvl w:val="1"/>
          <w:numId w:val="1"/>
        </w:numPr>
      </w:pPr>
      <w:r w:rsidRPr="00E45BB0">
        <w:rPr>
          <w:i/>
          <w:iCs/>
        </w:rPr>
        <w:t>Goal:</w:t>
      </w:r>
      <w:r w:rsidRPr="00E45BB0">
        <w:t> Establish a single, accurate System of Record before any automation is enabled.</w:t>
      </w:r>
    </w:p>
    <w:p w14:paraId="11820CDA" w14:textId="77777777" w:rsidR="00E45BB0" w:rsidRPr="00E45BB0" w:rsidRDefault="00E45BB0" w:rsidP="00E45BB0">
      <w:pPr>
        <w:numPr>
          <w:ilvl w:val="0"/>
          <w:numId w:val="1"/>
        </w:numPr>
      </w:pPr>
      <w:r w:rsidRPr="00E45BB0">
        <w:rPr>
          <w:b/>
          <w:bCs/>
        </w:rPr>
        <w:t>Phase 2: Automation (Event Bus &amp; Integrations)</w:t>
      </w:r>
    </w:p>
    <w:p w14:paraId="4533CD54" w14:textId="77777777" w:rsidR="00E45BB0" w:rsidRPr="00E45BB0" w:rsidRDefault="00E45BB0" w:rsidP="00E45BB0">
      <w:pPr>
        <w:numPr>
          <w:ilvl w:val="1"/>
          <w:numId w:val="1"/>
        </w:numPr>
      </w:pPr>
      <w:r w:rsidRPr="00E45BB0">
        <w:rPr>
          <w:i/>
          <w:iCs/>
        </w:rPr>
        <w:t>Focus:</w:t>
      </w:r>
      <w:r w:rsidRPr="00E45BB0">
        <w:t> Deploying Kong API Gateway, Apache Kafka, and Temporal.io. Connecting the BambooHR webhooks and building the synchronous REST API links to Coupa and FedEx.</w:t>
      </w:r>
    </w:p>
    <w:p w14:paraId="6F58E9F4" w14:textId="77777777" w:rsidR="00E45BB0" w:rsidRPr="00E45BB0" w:rsidRDefault="00E45BB0" w:rsidP="00E45BB0">
      <w:pPr>
        <w:numPr>
          <w:ilvl w:val="1"/>
          <w:numId w:val="1"/>
        </w:numPr>
      </w:pPr>
      <w:r w:rsidRPr="00E45BB0">
        <w:rPr>
          <w:i/>
          <w:iCs/>
        </w:rPr>
        <w:t>Goal:</w:t>
      </w:r>
      <w:r w:rsidRPr="00E45BB0">
        <w:t> Achieve "Zero-Touch Logistics" for onboarding and offboarding.</w:t>
      </w:r>
    </w:p>
    <w:p w14:paraId="411418B2" w14:textId="77777777" w:rsidR="00E45BB0" w:rsidRPr="00E45BB0" w:rsidRDefault="00E45BB0" w:rsidP="00E45BB0">
      <w:pPr>
        <w:numPr>
          <w:ilvl w:val="0"/>
          <w:numId w:val="1"/>
        </w:numPr>
      </w:pPr>
      <w:r w:rsidRPr="00E45BB0">
        <w:rPr>
          <w:b/>
          <w:bCs/>
        </w:rPr>
        <w:t>Phase 3: Intelligence (Telemetry &amp; AI Analytics)</w:t>
      </w:r>
    </w:p>
    <w:p w14:paraId="3B044399" w14:textId="77777777" w:rsidR="00E45BB0" w:rsidRPr="00E45BB0" w:rsidRDefault="00E45BB0" w:rsidP="00E45BB0">
      <w:pPr>
        <w:numPr>
          <w:ilvl w:val="1"/>
          <w:numId w:val="1"/>
        </w:numPr>
      </w:pPr>
      <w:r w:rsidRPr="00E45BB0">
        <w:rPr>
          <w:i/>
          <w:iCs/>
        </w:rPr>
        <w:t>Focus:</w:t>
      </w:r>
      <w:r w:rsidRPr="00E45BB0">
        <w:t xml:space="preserve"> Deploying </w:t>
      </w:r>
      <w:proofErr w:type="spellStart"/>
      <w:r w:rsidRPr="00E45BB0">
        <w:t>InfluxDB</w:t>
      </w:r>
      <w:proofErr w:type="spellEnd"/>
      <w:r w:rsidRPr="00E45BB0">
        <w:t xml:space="preserve"> and Neo4j. Connecting the MDM agents (</w:t>
      </w:r>
      <w:proofErr w:type="spellStart"/>
      <w:r w:rsidRPr="00E45BB0">
        <w:t>Jamf</w:t>
      </w:r>
      <w:proofErr w:type="spellEnd"/>
      <w:r w:rsidRPr="00E45BB0">
        <w:t>/Intune) to stream live hardware telemetry, and deploying the Scikit-learn predictive failure models.</w:t>
      </w:r>
    </w:p>
    <w:p w14:paraId="4041FDB9" w14:textId="19246D66" w:rsidR="00E45BB0" w:rsidRPr="00E45BB0" w:rsidRDefault="00E45BB0" w:rsidP="00E45BB0">
      <w:pPr>
        <w:numPr>
          <w:ilvl w:val="1"/>
          <w:numId w:val="1"/>
        </w:numPr>
      </w:pPr>
      <w:r w:rsidRPr="00E45BB0">
        <w:rPr>
          <w:i/>
          <w:iCs/>
        </w:rPr>
        <w:t>Goal:</w:t>
      </w:r>
      <w:r w:rsidRPr="00E45BB0">
        <w:t> Transition from reactive IT support to proactive predictive maintenance.</w:t>
      </w:r>
    </w:p>
    <w:p w14:paraId="3EAF89E8" w14:textId="77777777" w:rsidR="00E45BB0" w:rsidRPr="00E45BB0" w:rsidRDefault="00E45BB0" w:rsidP="00E45BB0">
      <w:pPr>
        <w:rPr>
          <w:b/>
          <w:bCs/>
        </w:rPr>
      </w:pPr>
      <w:r w:rsidRPr="00E45BB0">
        <w:rPr>
          <w:b/>
          <w:bCs/>
        </w:rPr>
        <w:t>2. Work Breakdown Structure (WBS)</w:t>
      </w:r>
    </w:p>
    <w:p w14:paraId="6F4A721A" w14:textId="77777777" w:rsidR="00E45BB0" w:rsidRPr="00E45BB0" w:rsidRDefault="00E45BB0" w:rsidP="00E45BB0">
      <w:r w:rsidRPr="00E45BB0">
        <w:rPr>
          <w:i/>
          <w:iCs/>
        </w:rPr>
        <w:t>This Gantt chart visualizes the high-level Work Breakdown Structure (WBS) across the 12-week implementation timeline.</w:t>
      </w:r>
    </w:p>
    <w:p w14:paraId="71B88E30" w14:textId="77777777" w:rsidR="000B2455" w:rsidRDefault="000B2455"/>
    <w:p w14:paraId="37530A14" w14:textId="10D83964" w:rsidR="00E45BB0" w:rsidRDefault="00E45BB0">
      <w:r w:rsidRPr="00E45BB0">
        <w:lastRenderedPageBreak/>
        <w:drawing>
          <wp:inline distT="0" distB="0" distL="0" distR="0" wp14:anchorId="521E6C25" wp14:editId="18ED0B6C">
            <wp:extent cx="5943600" cy="1346835"/>
            <wp:effectExtent l="0" t="0" r="0" b="5715"/>
            <wp:docPr id="16828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CB7B" w14:textId="77777777" w:rsidR="00E45BB0" w:rsidRDefault="00E45BB0"/>
    <w:p w14:paraId="7E525246" w14:textId="77777777" w:rsidR="00E45BB0" w:rsidRPr="00E45BB0" w:rsidRDefault="00E45BB0" w:rsidP="00E45BB0">
      <w:pPr>
        <w:rPr>
          <w:b/>
          <w:bCs/>
        </w:rPr>
      </w:pPr>
      <w:r w:rsidRPr="00E45BB0">
        <w:rPr>
          <w:b/>
          <w:bCs/>
        </w:rPr>
        <w:t>3. Risk Management Matrix</w:t>
      </w:r>
    </w:p>
    <w:p w14:paraId="372B4456" w14:textId="77777777" w:rsidR="00E45BB0" w:rsidRPr="00E45BB0" w:rsidRDefault="00E45BB0" w:rsidP="00E45BB0">
      <w:pPr>
        <w:rPr>
          <w:b/>
          <w:bCs/>
        </w:rPr>
      </w:pPr>
      <w:r w:rsidRPr="00E45BB0">
        <w:rPr>
          <w:b/>
          <w:bCs/>
        </w:rPr>
        <w:t>Modernizing an enterprise IT architecture carries inherent technical and operational risks. The table below outlines the critical risks and their planned mitigations.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753"/>
        <w:gridCol w:w="1175"/>
        <w:gridCol w:w="799"/>
        <w:gridCol w:w="3517"/>
      </w:tblGrid>
      <w:tr w:rsidR="00E45BB0" w:rsidRPr="00E45BB0" w14:paraId="293FE3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9694B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Risk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911C0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AD2BC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Probability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43EC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19578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Mitigation Strategy</w:t>
            </w:r>
          </w:p>
        </w:tc>
      </w:tr>
      <w:tr w:rsidR="00E45BB0" w:rsidRPr="00E45BB0" w14:paraId="17226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B133C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Data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DAF20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Legacy Google Sheets contain massive inconsistencies, duplicate serial numbers, and missing assignments.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43FA9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AF27D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5572D1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Implement a rigorous Python-based data sanitization script prior to Phase 1. Force a physical "barcode scan audit" for all Manila/Cebu clinic hardware to establish a clean baseline.</w:t>
            </w:r>
          </w:p>
        </w:tc>
      </w:tr>
      <w:tr w:rsidR="00E45BB0" w:rsidRPr="00E45BB0" w14:paraId="63578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F0C47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API Rate Limiting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B630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BambooHR and Coupa APIs enforce strict rate limits. A mass-hiring event could cause the system to drop webhooks.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84AB1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660DC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5EBBCE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The architecture specifically utilizes Apache Kafka (Amazon MSK) to buffer incoming payloads. If rate limits are hit, the Event-Driven Middleware will throttle outgoing requests and retry automatically via Temporal.io.</w:t>
            </w:r>
          </w:p>
        </w:tc>
      </w:tr>
      <w:tr w:rsidR="00E45BB0" w:rsidRPr="00E45BB0" w14:paraId="158AD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38354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Network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20794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 xml:space="preserve">Streaming live telemetry from 400 remote telehealth doctors into </w:t>
            </w:r>
            <w:proofErr w:type="spellStart"/>
            <w:r w:rsidRPr="00E45BB0">
              <w:rPr>
                <w:b/>
                <w:bCs/>
              </w:rPr>
              <w:t>InfluxDB</w:t>
            </w:r>
            <w:proofErr w:type="spellEnd"/>
            <w:r w:rsidRPr="00E45BB0">
              <w:rPr>
                <w:b/>
                <w:bCs/>
              </w:rPr>
              <w:t xml:space="preserve"> could cause bandwidth bottlenecks.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99F58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2C011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F48DC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Configure the MDM agents to aggregate telemetry locally and send batched updates every 15 minutes, rather than maintaining an open continuous TCP stream.</w:t>
            </w:r>
          </w:p>
        </w:tc>
      </w:tr>
      <w:tr w:rsidR="00E45BB0" w:rsidRPr="00E45BB0" w14:paraId="3882A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4CB12D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User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35C7F8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Remote doctors may ignore automated FedEx return emails generated by the system during offboarding.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45268B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E49E35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960676" w14:textId="77777777" w:rsidR="00E45BB0" w:rsidRPr="00E45BB0" w:rsidRDefault="00E45BB0" w:rsidP="00E45BB0">
            <w:pPr>
              <w:rPr>
                <w:b/>
                <w:bCs/>
              </w:rPr>
            </w:pPr>
            <w:r w:rsidRPr="00E45BB0">
              <w:rPr>
                <w:b/>
                <w:bCs/>
              </w:rPr>
              <w:t>Integrate the HR payroll system into the Temporal workflow. If FedEx API does not register a tracking scan within 14 days, automatically trigger an HR hold on final severance pay.</w:t>
            </w:r>
          </w:p>
        </w:tc>
      </w:tr>
    </w:tbl>
    <w:p w14:paraId="3BFC2C59" w14:textId="77777777" w:rsidR="00E45BB0" w:rsidRDefault="00E45BB0" w:rsidP="00E45BB0"/>
    <w:sectPr w:rsidR="00E45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14C4D"/>
    <w:multiLevelType w:val="multilevel"/>
    <w:tmpl w:val="CEB0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2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B0"/>
    <w:rsid w:val="000B2455"/>
    <w:rsid w:val="00886F65"/>
    <w:rsid w:val="00A6171A"/>
    <w:rsid w:val="00E4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B703"/>
  <w15:chartTrackingRefBased/>
  <w15:docId w15:val="{76E952E1-8969-46F4-AE3D-82DE19A5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2026-05-16T16:22:00Z</dcterms:created>
  <dcterms:modified xsi:type="dcterms:W3CDTF">2026-05-16T16:27:00Z</dcterms:modified>
</cp:coreProperties>
</file>