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14F4" w14:textId="77777777" w:rsidR="00C5322B" w:rsidRPr="00C5322B" w:rsidRDefault="00C5322B" w:rsidP="00C5322B">
      <w:pPr>
        <w:rPr>
          <w:b/>
          <w:bCs/>
        </w:rPr>
      </w:pPr>
      <w:r w:rsidRPr="00C5322B">
        <w:rPr>
          <w:b/>
          <w:bCs/>
        </w:rPr>
        <w:t>Deliverable 2A: TO-BE Business Architecture</w:t>
      </w:r>
    </w:p>
    <w:p w14:paraId="10E88C8A" w14:textId="77777777" w:rsidR="00C5322B" w:rsidRPr="00C5322B" w:rsidRDefault="00C5322B" w:rsidP="00C5322B">
      <w:r w:rsidRPr="00C5322B">
        <w:rPr>
          <w:b/>
          <w:bCs/>
        </w:rPr>
        <w:t>Company:</w:t>
      </w:r>
      <w:r w:rsidRPr="00C5322B">
        <w:t> Aegis Health Partners</w:t>
      </w:r>
    </w:p>
    <w:p w14:paraId="446450F1" w14:textId="77777777" w:rsidR="00C5322B" w:rsidRPr="00C5322B" w:rsidRDefault="00C5322B" w:rsidP="00C5322B">
      <w:r w:rsidRPr="00C5322B">
        <w:pict w14:anchorId="0AE8DAA1">
          <v:rect id="_x0000_i1031" style="width:605.85pt;height:.75pt" o:hrpct="0" o:hralign="center" o:hrstd="t" o:hr="t" fillcolor="#a0a0a0" stroked="f"/>
        </w:pict>
      </w:r>
    </w:p>
    <w:p w14:paraId="5781F9FA" w14:textId="77777777" w:rsidR="00C5322B" w:rsidRPr="00C5322B" w:rsidRDefault="00C5322B" w:rsidP="00C5322B">
      <w:pPr>
        <w:rPr>
          <w:b/>
          <w:bCs/>
        </w:rPr>
      </w:pPr>
      <w:r w:rsidRPr="00C5322B">
        <w:rPr>
          <w:b/>
          <w:bCs/>
        </w:rPr>
        <w:t>1. The Unified ITAM Intelligence Layer</w:t>
      </w:r>
    </w:p>
    <w:p w14:paraId="305FD027" w14:textId="77777777" w:rsidR="00C5322B" w:rsidRPr="00C5322B" w:rsidRDefault="00C5322B" w:rsidP="00C5322B">
      <w:r w:rsidRPr="00C5322B">
        <w:t>In the modernized TO-BE architecture, IT Asset Management transitions from isolated departmental silos into a </w:t>
      </w:r>
      <w:r w:rsidRPr="00C5322B">
        <w:rPr>
          <w:b/>
          <w:bCs/>
        </w:rPr>
        <w:t>Unified Integration &amp; Intelligence Layer</w:t>
      </w:r>
      <w:r w:rsidRPr="00C5322B">
        <w:t>. This shift moves humans from being manual data processors to the implementers of AI-driven decisions.</w:t>
      </w:r>
    </w:p>
    <w:p w14:paraId="66C123F5" w14:textId="77777777" w:rsidR="00C5322B" w:rsidRPr="00C5322B" w:rsidRDefault="00C5322B" w:rsidP="00C5322B">
      <w:r w:rsidRPr="00C5322B">
        <w:t>1.1 Business Capabilities</w:t>
      </w:r>
    </w:p>
    <w:p w14:paraId="1A8D6C43" w14:textId="77777777" w:rsidR="00C5322B" w:rsidRPr="00C5322B" w:rsidRDefault="00C5322B" w:rsidP="00C5322B">
      <w:r w:rsidRPr="00C5322B">
        <w:t>The future-state architecture introduces several net-new business capabilities:</w:t>
      </w:r>
    </w:p>
    <w:p w14:paraId="3E7EFC4A" w14:textId="77777777" w:rsidR="00C5322B" w:rsidRPr="00C5322B" w:rsidRDefault="00C5322B" w:rsidP="00C5322B">
      <w:pPr>
        <w:numPr>
          <w:ilvl w:val="0"/>
          <w:numId w:val="3"/>
        </w:numPr>
      </w:pPr>
      <w:r w:rsidRPr="00C5322B">
        <w:rPr>
          <w:b/>
          <w:bCs/>
        </w:rPr>
        <w:t>Automated Asset Lifecycle Management:</w:t>
      </w:r>
      <w:r w:rsidRPr="00C5322B">
        <w:t> Seamlessly track hardware from procurement through disposal without manual spreadsheet entry.</w:t>
      </w:r>
    </w:p>
    <w:p w14:paraId="28A17455" w14:textId="77777777" w:rsidR="00C5322B" w:rsidRPr="00C5322B" w:rsidRDefault="00C5322B" w:rsidP="00C5322B">
      <w:pPr>
        <w:numPr>
          <w:ilvl w:val="0"/>
          <w:numId w:val="3"/>
        </w:numPr>
      </w:pPr>
      <w:r w:rsidRPr="00C5322B">
        <w:rPr>
          <w:b/>
          <w:bCs/>
        </w:rPr>
        <w:t>Zero-Touch Provisioning &amp; Logistics:</w:t>
      </w:r>
      <w:r w:rsidRPr="00C5322B">
        <w:t> Automatically order, configure, and ship equipment directly to remote telehealth doctors based on HR webhooks.</w:t>
      </w:r>
    </w:p>
    <w:p w14:paraId="54F8A55D" w14:textId="77777777" w:rsidR="00C5322B" w:rsidRPr="00C5322B" w:rsidRDefault="00C5322B" w:rsidP="00C5322B">
      <w:pPr>
        <w:numPr>
          <w:ilvl w:val="0"/>
          <w:numId w:val="3"/>
        </w:numPr>
      </w:pPr>
      <w:r w:rsidRPr="00C5322B">
        <w:rPr>
          <w:b/>
          <w:bCs/>
        </w:rPr>
        <w:t>Automated Compliance &amp; Risk Management:</w:t>
      </w:r>
      <w:r w:rsidRPr="00C5322B">
        <w:t> Algorithmically enforce HIPAA compliance by mandating cryptographic wipe certificates before an asset can be marked as disposed.</w:t>
      </w:r>
    </w:p>
    <w:p w14:paraId="61ECBB5F" w14:textId="77777777" w:rsidR="00C5322B" w:rsidRPr="00C5322B" w:rsidRDefault="00C5322B" w:rsidP="00C5322B">
      <w:pPr>
        <w:numPr>
          <w:ilvl w:val="0"/>
          <w:numId w:val="3"/>
        </w:numPr>
      </w:pPr>
      <w:r w:rsidRPr="00C5322B">
        <w:rPr>
          <w:b/>
          <w:bCs/>
        </w:rPr>
        <w:t>Telemetry-Driven Predictive Maintenance:</w:t>
      </w:r>
      <w:r w:rsidRPr="00C5322B">
        <w:t> Monitor device health (battery life, CPU temperatures) to proactively replace failing equipment before it impacts a patient consultation.</w:t>
      </w:r>
    </w:p>
    <w:p w14:paraId="51DD1C81" w14:textId="77777777" w:rsidR="00C5322B" w:rsidRPr="00C5322B" w:rsidRDefault="00C5322B" w:rsidP="00C5322B">
      <w:r w:rsidRPr="00C5322B">
        <w:t>1.2 Value Streams</w:t>
      </w:r>
    </w:p>
    <w:p w14:paraId="2A9B5768" w14:textId="77777777" w:rsidR="00C5322B" w:rsidRPr="00C5322B" w:rsidRDefault="00C5322B" w:rsidP="00C5322B">
      <w:r w:rsidRPr="00C5322B">
        <w:t>By implementing this architecture, Aegis optimizes three primary value streams:</w:t>
      </w:r>
    </w:p>
    <w:p w14:paraId="247502C1" w14:textId="77777777" w:rsidR="00C5322B" w:rsidRPr="00C5322B" w:rsidRDefault="00C5322B" w:rsidP="00C5322B">
      <w:pPr>
        <w:numPr>
          <w:ilvl w:val="0"/>
          <w:numId w:val="4"/>
        </w:numPr>
      </w:pPr>
      <w:r w:rsidRPr="00C5322B">
        <w:rPr>
          <w:b/>
          <w:bCs/>
        </w:rPr>
        <w:t>Hire-to-Productive (Onboarding):</w:t>
      </w:r>
      <w:r w:rsidRPr="00C5322B">
        <w:t> BambooHR triggers an automated workflow that allocates inventory, creates a Coupa PO if needed, and ships the device.</w:t>
      </w:r>
    </w:p>
    <w:p w14:paraId="37F77503" w14:textId="77777777" w:rsidR="00C5322B" w:rsidRPr="00C5322B" w:rsidRDefault="00C5322B" w:rsidP="00C5322B">
      <w:pPr>
        <w:numPr>
          <w:ilvl w:val="1"/>
          <w:numId w:val="4"/>
        </w:numPr>
      </w:pPr>
      <w:r w:rsidRPr="00C5322B">
        <w:rPr>
          <w:i/>
          <w:iCs/>
        </w:rPr>
        <w:t>Value: Reduces onboarding delays from 3-5 days to under 24 hours.</w:t>
      </w:r>
    </w:p>
    <w:p w14:paraId="2B50D832" w14:textId="77777777" w:rsidR="00C5322B" w:rsidRPr="00C5322B" w:rsidRDefault="00C5322B" w:rsidP="00C5322B">
      <w:pPr>
        <w:numPr>
          <w:ilvl w:val="0"/>
          <w:numId w:val="4"/>
        </w:numPr>
      </w:pPr>
      <w:r w:rsidRPr="00C5322B">
        <w:rPr>
          <w:b/>
          <w:bCs/>
        </w:rPr>
        <w:t>Resignation-to-Recovery (Offboarding):</w:t>
      </w:r>
      <w:r w:rsidRPr="00C5322B">
        <w:t> Employee termination triggers an automated FedEx return label generation.</w:t>
      </w:r>
    </w:p>
    <w:p w14:paraId="5782C36A" w14:textId="77777777" w:rsidR="00C5322B" w:rsidRPr="00C5322B" w:rsidRDefault="00C5322B" w:rsidP="00C5322B">
      <w:pPr>
        <w:numPr>
          <w:ilvl w:val="1"/>
          <w:numId w:val="4"/>
        </w:numPr>
      </w:pPr>
      <w:r w:rsidRPr="00C5322B">
        <w:rPr>
          <w:i/>
          <w:iCs/>
        </w:rPr>
        <w:t>Value: Closes the logistical loophole, reducing the 30% asset loss rate and recovering ~$150,000 annually.</w:t>
      </w:r>
    </w:p>
    <w:p w14:paraId="4E8F9DC3" w14:textId="77777777" w:rsidR="00C5322B" w:rsidRPr="00C5322B" w:rsidRDefault="00C5322B" w:rsidP="00C5322B">
      <w:pPr>
        <w:numPr>
          <w:ilvl w:val="0"/>
          <w:numId w:val="4"/>
        </w:numPr>
      </w:pPr>
      <w:r w:rsidRPr="00C5322B">
        <w:rPr>
          <w:b/>
          <w:bCs/>
        </w:rPr>
        <w:t>Retirement-to-Compliance (Disposal):</w:t>
      </w:r>
      <w:r w:rsidRPr="00C5322B">
        <w:t> E-waste recyclers automatically upload Certificates of Destruction to the database.</w:t>
      </w:r>
    </w:p>
    <w:p w14:paraId="76A41D06" w14:textId="77777777" w:rsidR="00C5322B" w:rsidRPr="00C5322B" w:rsidRDefault="00C5322B" w:rsidP="00C5322B">
      <w:pPr>
        <w:numPr>
          <w:ilvl w:val="1"/>
          <w:numId w:val="4"/>
        </w:numPr>
      </w:pPr>
      <w:r w:rsidRPr="00C5322B">
        <w:rPr>
          <w:i/>
          <w:iCs/>
        </w:rPr>
        <w:t>Value: Mitigates massive HIPAA violation risks by guaranteeing verifiable sanitation.</w:t>
      </w:r>
    </w:p>
    <w:p w14:paraId="10FA718F" w14:textId="77777777" w:rsidR="00C5322B" w:rsidRPr="00C5322B" w:rsidRDefault="00C5322B" w:rsidP="00C5322B">
      <w:r w:rsidRPr="00C5322B">
        <w:t>1.3 BPMN Workflow &amp; Automation Zones</w:t>
      </w:r>
    </w:p>
    <w:p w14:paraId="72E33085" w14:textId="77777777" w:rsidR="00C5322B" w:rsidRPr="00C5322B" w:rsidRDefault="00C5322B" w:rsidP="00C5322B">
      <w:pPr>
        <w:numPr>
          <w:ilvl w:val="0"/>
          <w:numId w:val="5"/>
        </w:numPr>
      </w:pPr>
      <w:r w:rsidRPr="00C5322B">
        <w:rPr>
          <w:b/>
          <w:bCs/>
        </w:rPr>
        <w:t>The Intelligence Hub (Center):</w:t>
      </w:r>
      <w:r w:rsidRPr="00C5322B">
        <w:t> The system simultaneously pulls from Polyglot databases to "think" and make routing decisions before a human is involved.</w:t>
      </w:r>
    </w:p>
    <w:p w14:paraId="10C959A7" w14:textId="77777777" w:rsidR="00C5322B" w:rsidRPr="00C5322B" w:rsidRDefault="00C5322B" w:rsidP="00C5322B">
      <w:pPr>
        <w:numPr>
          <w:ilvl w:val="0"/>
          <w:numId w:val="5"/>
        </w:numPr>
      </w:pPr>
      <w:r w:rsidRPr="00C5322B">
        <w:rPr>
          <w:b/>
          <w:bCs/>
        </w:rPr>
        <w:lastRenderedPageBreak/>
        <w:t>Automated Trigger Points (Left Side):</w:t>
      </w:r>
      <w:r w:rsidRPr="00C5322B">
        <w:t> Processes begin via API webhooks (HR New Hire, Low Device Health) rather than manual ticket submissions.</w:t>
      </w:r>
    </w:p>
    <w:p w14:paraId="17810E8C" w14:textId="77777777" w:rsidR="00C5322B" w:rsidRPr="00C5322B" w:rsidRDefault="00C5322B" w:rsidP="00C5322B">
      <w:pPr>
        <w:numPr>
          <w:ilvl w:val="0"/>
          <w:numId w:val="5"/>
        </w:numPr>
      </w:pPr>
      <w:r w:rsidRPr="00C5322B">
        <w:rPr>
          <w:b/>
          <w:bCs/>
        </w:rPr>
        <w:t>The "No Data Entry" Zone (Right Side):</w:t>
      </w:r>
      <w:r w:rsidRPr="00C5322B">
        <w:t> The IT Help Desk receives "Smart Notifications" to perform physical tasks (e.g., hand a box to FedEx), while the system updates the Snipe-IT database in the background.</w:t>
      </w:r>
    </w:p>
    <w:p w14:paraId="47C1EDCE" w14:textId="77777777" w:rsidR="008956FD" w:rsidRDefault="008956FD" w:rsidP="008956FD"/>
    <w:p w14:paraId="0E5F5477" w14:textId="77777777" w:rsidR="00C5322B" w:rsidRDefault="00C5322B" w:rsidP="008956FD"/>
    <w:p w14:paraId="5389E6AA" w14:textId="77777777" w:rsidR="00C5322B" w:rsidRPr="00C5322B" w:rsidRDefault="00C5322B" w:rsidP="00C5322B">
      <w:pPr>
        <w:rPr>
          <w:b/>
          <w:bCs/>
        </w:rPr>
      </w:pPr>
      <w:r w:rsidRPr="00C5322B">
        <w:rPr>
          <w:b/>
          <w:bCs/>
        </w:rPr>
        <w:t>Deliverable 2B: TO-BE Data Architecture</w:t>
      </w:r>
    </w:p>
    <w:p w14:paraId="6C62DE4C" w14:textId="77777777" w:rsidR="00C5322B" w:rsidRPr="00C5322B" w:rsidRDefault="00C5322B" w:rsidP="00C5322B">
      <w:r w:rsidRPr="00C5322B">
        <w:rPr>
          <w:b/>
          <w:bCs/>
        </w:rPr>
        <w:t>Company:</w:t>
      </w:r>
      <w:r w:rsidRPr="00C5322B">
        <w:t> Aegis Health Partners</w:t>
      </w:r>
    </w:p>
    <w:p w14:paraId="27F701F2" w14:textId="77777777" w:rsidR="00C5322B" w:rsidRPr="00C5322B" w:rsidRDefault="00C5322B" w:rsidP="00C5322B">
      <w:r w:rsidRPr="00C5322B">
        <w:pict w14:anchorId="1FD8999D">
          <v:rect id="_x0000_i1039" style="width:605.85pt;height:.75pt" o:hrpct="0" o:hralign="center" o:hrstd="t" o:hr="t" fillcolor="#a0a0a0" stroked="f"/>
        </w:pict>
      </w:r>
    </w:p>
    <w:p w14:paraId="4A126FF7" w14:textId="77777777" w:rsidR="00C5322B" w:rsidRPr="00C5322B" w:rsidRDefault="00C5322B" w:rsidP="00C5322B">
      <w:r w:rsidRPr="00C5322B">
        <w:t>The TO-BE Data Architecture transitions the organization from flat-file record keeping into a highly normalized, scalable data ecosystem capable of handling HIPAA compliance and AI analytics.</w:t>
      </w:r>
    </w:p>
    <w:p w14:paraId="405E2269" w14:textId="77777777" w:rsidR="00C5322B" w:rsidRPr="00C5322B" w:rsidRDefault="00C5322B" w:rsidP="00C5322B">
      <w:pPr>
        <w:rPr>
          <w:b/>
          <w:bCs/>
        </w:rPr>
      </w:pPr>
      <w:r w:rsidRPr="00C5322B">
        <w:rPr>
          <w:b/>
          <w:bCs/>
        </w:rPr>
        <w:t>1. Enterprise Data Model (EDM)</w:t>
      </w:r>
    </w:p>
    <w:p w14:paraId="765ADB27" w14:textId="77777777" w:rsidR="00C5322B" w:rsidRPr="00C5322B" w:rsidRDefault="00C5322B" w:rsidP="00C5322B">
      <w:r w:rsidRPr="00C5322B">
        <w:t>The system standardizes data across multiple domains to create a "Golden Record" for every physical asset:</w:t>
      </w:r>
    </w:p>
    <w:p w14:paraId="16964C2D" w14:textId="77777777" w:rsidR="00C5322B" w:rsidRPr="00C5322B" w:rsidRDefault="00C5322B" w:rsidP="00C5322B">
      <w:pPr>
        <w:numPr>
          <w:ilvl w:val="0"/>
          <w:numId w:val="6"/>
        </w:numPr>
      </w:pPr>
      <w:r w:rsidRPr="00C5322B">
        <w:rPr>
          <w:b/>
          <w:bCs/>
        </w:rPr>
        <w:t>Identity Domain (The "Who"):</w:t>
      </w:r>
      <w:r w:rsidRPr="00C5322B">
        <w:t> Sourced from BambooHR (</w:t>
      </w:r>
      <w:proofErr w:type="spellStart"/>
      <w:r w:rsidRPr="00C5322B">
        <w:t>Employee_ID</w:t>
      </w:r>
      <w:proofErr w:type="spellEnd"/>
      <w:r w:rsidRPr="00C5322B">
        <w:t>, </w:t>
      </w:r>
      <w:proofErr w:type="spellStart"/>
      <w:r w:rsidRPr="00C5322B">
        <w:t>Clinical_Role</w:t>
      </w:r>
      <w:proofErr w:type="spellEnd"/>
      <w:r w:rsidRPr="00C5322B">
        <w:t>).</w:t>
      </w:r>
    </w:p>
    <w:p w14:paraId="1EF50822" w14:textId="77777777" w:rsidR="00C5322B" w:rsidRPr="00C5322B" w:rsidRDefault="00C5322B" w:rsidP="00C5322B">
      <w:pPr>
        <w:numPr>
          <w:ilvl w:val="0"/>
          <w:numId w:val="6"/>
        </w:numPr>
      </w:pPr>
      <w:r w:rsidRPr="00C5322B">
        <w:rPr>
          <w:b/>
          <w:bCs/>
        </w:rPr>
        <w:t>Asset Domain (The "What"):</w:t>
      </w:r>
      <w:r w:rsidRPr="00C5322B">
        <w:t> Sourced from Snipe-IT (</w:t>
      </w:r>
      <w:proofErr w:type="spellStart"/>
      <w:r w:rsidRPr="00C5322B">
        <w:t>Asset_Tag</w:t>
      </w:r>
      <w:proofErr w:type="spellEnd"/>
      <w:r w:rsidRPr="00C5322B">
        <w:t>, </w:t>
      </w:r>
      <w:proofErr w:type="spellStart"/>
      <w:r w:rsidRPr="00C5322B">
        <w:t>Serial_Number</w:t>
      </w:r>
      <w:proofErr w:type="spellEnd"/>
      <w:r w:rsidRPr="00C5322B">
        <w:t>).</w:t>
      </w:r>
    </w:p>
    <w:p w14:paraId="3945B327" w14:textId="77777777" w:rsidR="00C5322B" w:rsidRPr="00C5322B" w:rsidRDefault="00C5322B" w:rsidP="00C5322B">
      <w:pPr>
        <w:numPr>
          <w:ilvl w:val="0"/>
          <w:numId w:val="6"/>
        </w:numPr>
      </w:pPr>
      <w:r w:rsidRPr="00C5322B">
        <w:rPr>
          <w:b/>
          <w:bCs/>
        </w:rPr>
        <w:t>Financial Domain (The "Cost"):</w:t>
      </w:r>
      <w:r w:rsidRPr="00C5322B">
        <w:t> Sourced from Coupa (PO_ID, Depreciation).</w:t>
      </w:r>
    </w:p>
    <w:p w14:paraId="41F6BEDA" w14:textId="77777777" w:rsidR="00C5322B" w:rsidRPr="00C5322B" w:rsidRDefault="00C5322B" w:rsidP="00C5322B">
      <w:pPr>
        <w:numPr>
          <w:ilvl w:val="0"/>
          <w:numId w:val="6"/>
        </w:numPr>
      </w:pPr>
      <w:r w:rsidRPr="00C5322B">
        <w:rPr>
          <w:b/>
          <w:bCs/>
        </w:rPr>
        <w:t>Compliance Domain (The "Risk"):</w:t>
      </w:r>
      <w:r w:rsidRPr="00C5322B">
        <w:t> Sourced from Document Stores (</w:t>
      </w:r>
      <w:proofErr w:type="spellStart"/>
      <w:r w:rsidRPr="00C5322B">
        <w:t>Wipe_Certificate_ID</w:t>
      </w:r>
      <w:proofErr w:type="spellEnd"/>
      <w:r w:rsidRPr="00C5322B">
        <w:t>, </w:t>
      </w:r>
      <w:proofErr w:type="spellStart"/>
      <w:r w:rsidRPr="00C5322B">
        <w:t>EULA_Signature</w:t>
      </w:r>
      <w:proofErr w:type="spellEnd"/>
      <w:r w:rsidRPr="00C5322B">
        <w:t>).</w:t>
      </w:r>
    </w:p>
    <w:p w14:paraId="32048950" w14:textId="77777777" w:rsidR="00C5322B" w:rsidRPr="00C5322B" w:rsidRDefault="00C5322B" w:rsidP="00C5322B">
      <w:pPr>
        <w:numPr>
          <w:ilvl w:val="0"/>
          <w:numId w:val="6"/>
        </w:numPr>
      </w:pPr>
      <w:r w:rsidRPr="00C5322B">
        <w:rPr>
          <w:b/>
          <w:bCs/>
        </w:rPr>
        <w:t>Telemetry Domain (The "Health"):</w:t>
      </w:r>
      <w:r w:rsidRPr="00C5322B">
        <w:t> Sourced from MDM (</w:t>
      </w:r>
      <w:proofErr w:type="spellStart"/>
      <w:r w:rsidRPr="00C5322B">
        <w:t>CPU_Temp</w:t>
      </w:r>
      <w:proofErr w:type="spellEnd"/>
      <w:r w:rsidRPr="00C5322B">
        <w:t>, Battery_Health).</w:t>
      </w:r>
    </w:p>
    <w:p w14:paraId="73148CEA" w14:textId="77777777" w:rsidR="00C5322B" w:rsidRPr="00C5322B" w:rsidRDefault="00C5322B" w:rsidP="00C5322B">
      <w:pPr>
        <w:rPr>
          <w:b/>
          <w:bCs/>
        </w:rPr>
      </w:pPr>
      <w:r w:rsidRPr="00C5322B">
        <w:rPr>
          <w:b/>
          <w:bCs/>
        </w:rPr>
        <w:t>2. Polyglot Persistence Strategy</w:t>
      </w:r>
    </w:p>
    <w:p w14:paraId="766ED874" w14:textId="77777777" w:rsidR="00C5322B" w:rsidRPr="00C5322B" w:rsidRDefault="00C5322B" w:rsidP="00C5322B">
      <w:r w:rsidRPr="00C5322B">
        <w:t>To efficiently handle this diverse data, an Event-Driven Middleware "shreds" incoming payloads into specialized databases:</w:t>
      </w:r>
    </w:p>
    <w:p w14:paraId="1572C644" w14:textId="77777777" w:rsidR="00C5322B" w:rsidRPr="00C5322B" w:rsidRDefault="00C5322B" w:rsidP="00C5322B">
      <w:pPr>
        <w:numPr>
          <w:ilvl w:val="0"/>
          <w:numId w:val="7"/>
        </w:numPr>
      </w:pPr>
      <w:r w:rsidRPr="00C5322B">
        <w:rPr>
          <w:b/>
          <w:bCs/>
        </w:rPr>
        <w:t>Relational Database (Snipe-IT PostgreSQL):</w:t>
      </w:r>
      <w:r w:rsidRPr="00C5322B">
        <w:t> The System of Record for Asset and Identity domains. Handles standard financial audits.</w:t>
      </w:r>
    </w:p>
    <w:p w14:paraId="6F2CD65F" w14:textId="77777777" w:rsidR="00C5322B" w:rsidRPr="00C5322B" w:rsidRDefault="00C5322B" w:rsidP="00C5322B">
      <w:pPr>
        <w:numPr>
          <w:ilvl w:val="0"/>
          <w:numId w:val="7"/>
        </w:numPr>
      </w:pPr>
      <w:r w:rsidRPr="00C5322B">
        <w:rPr>
          <w:b/>
          <w:bCs/>
        </w:rPr>
        <w:t>Document Store (MongoDB):</w:t>
      </w:r>
      <w:r w:rsidRPr="00C5322B">
        <w:t> The Context layer. Stores unstructured data like PDF Wipe Certificates and signed Acceptable Use Policies.</w:t>
      </w:r>
    </w:p>
    <w:p w14:paraId="2628F924" w14:textId="77777777" w:rsidR="00C5322B" w:rsidRPr="00C5322B" w:rsidRDefault="00C5322B" w:rsidP="00C5322B">
      <w:pPr>
        <w:numPr>
          <w:ilvl w:val="0"/>
          <w:numId w:val="7"/>
        </w:numPr>
      </w:pPr>
      <w:r w:rsidRPr="00C5322B">
        <w:rPr>
          <w:b/>
          <w:bCs/>
        </w:rPr>
        <w:t>Time-Series Database (</w:t>
      </w:r>
      <w:proofErr w:type="spellStart"/>
      <w:r w:rsidRPr="00C5322B">
        <w:rPr>
          <w:b/>
          <w:bCs/>
        </w:rPr>
        <w:t>InfluxDB</w:t>
      </w:r>
      <w:proofErr w:type="spellEnd"/>
      <w:r w:rsidRPr="00C5322B">
        <w:rPr>
          <w:b/>
          <w:bCs/>
        </w:rPr>
        <w:t>):</w:t>
      </w:r>
      <w:r w:rsidRPr="00C5322B">
        <w:t> The Pulse layer. Ingests high-velocity hardware telemetry from remote telehealth kits to fuel predictive maintenance.</w:t>
      </w:r>
    </w:p>
    <w:p w14:paraId="0CEAB305" w14:textId="77777777" w:rsidR="00C5322B" w:rsidRDefault="00C5322B" w:rsidP="00C5322B">
      <w:pPr>
        <w:numPr>
          <w:ilvl w:val="0"/>
          <w:numId w:val="7"/>
        </w:numPr>
      </w:pPr>
      <w:r w:rsidRPr="00C5322B">
        <w:rPr>
          <w:b/>
          <w:bCs/>
        </w:rPr>
        <w:t>Graph Database (Neo4j):</w:t>
      </w:r>
      <w:r w:rsidRPr="00C5322B">
        <w:t> The Relationship layer. Maps dependencies (e.g., tying a specific failing VPN router to the exact remote doctors and patients affected).</w:t>
      </w:r>
    </w:p>
    <w:p w14:paraId="2BDDC036" w14:textId="77777777" w:rsidR="00C5322B" w:rsidRPr="00C5322B" w:rsidRDefault="00C5322B" w:rsidP="00C5322B">
      <w:pPr>
        <w:ind w:left="720"/>
      </w:pPr>
    </w:p>
    <w:p w14:paraId="22E29199" w14:textId="77777777" w:rsidR="00C5322B" w:rsidRPr="00C5322B" w:rsidRDefault="00C5322B" w:rsidP="00C5322B">
      <w:pPr>
        <w:rPr>
          <w:b/>
          <w:bCs/>
        </w:rPr>
      </w:pPr>
      <w:r w:rsidRPr="00C5322B">
        <w:rPr>
          <w:b/>
          <w:bCs/>
        </w:rPr>
        <w:lastRenderedPageBreak/>
        <w:t>3. Data Flow Diagrams (DFDs)</w:t>
      </w:r>
    </w:p>
    <w:p w14:paraId="68F858B2" w14:textId="77777777" w:rsidR="00C5322B" w:rsidRPr="00C5322B" w:rsidRDefault="00C5322B" w:rsidP="00C5322B">
      <w:r w:rsidRPr="00C5322B">
        <w:t>Level 0: Context Diagram</w:t>
      </w:r>
    </w:p>
    <w:p w14:paraId="1A6F94C2" w14:textId="77777777" w:rsidR="00C5322B" w:rsidRPr="00C5322B" w:rsidRDefault="00C5322B" w:rsidP="00C5322B">
      <w:r w:rsidRPr="00C5322B">
        <w:rPr>
          <w:i/>
          <w:iCs/>
        </w:rPr>
        <w:t>This illustrates the Unified ITAM System interacting with external entities and vendors.</w:t>
      </w:r>
    </w:p>
    <w:p w14:paraId="51C55F03" w14:textId="2B051347" w:rsidR="00C5322B" w:rsidRDefault="00C5322B" w:rsidP="008956FD">
      <w:r w:rsidRPr="00C5322B">
        <w:drawing>
          <wp:inline distT="0" distB="0" distL="0" distR="0" wp14:anchorId="7CC14BAD" wp14:editId="40B05F57">
            <wp:extent cx="5943600" cy="4417060"/>
            <wp:effectExtent l="0" t="0" r="0" b="2540"/>
            <wp:docPr id="2379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6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5A63" w14:textId="77777777" w:rsidR="00C5322B" w:rsidRDefault="00C5322B" w:rsidP="008956FD"/>
    <w:p w14:paraId="19BB7D8A" w14:textId="77777777" w:rsidR="00C5322B" w:rsidRDefault="00C5322B" w:rsidP="00C5322B"/>
    <w:p w14:paraId="4D2B7437" w14:textId="77777777" w:rsidR="00C5322B" w:rsidRDefault="00C5322B" w:rsidP="00C5322B"/>
    <w:p w14:paraId="4A5260D9" w14:textId="77777777" w:rsidR="00C5322B" w:rsidRDefault="00C5322B" w:rsidP="00C5322B"/>
    <w:p w14:paraId="053F5A56" w14:textId="77777777" w:rsidR="00C5322B" w:rsidRDefault="00C5322B" w:rsidP="00C5322B"/>
    <w:p w14:paraId="4B3D9D20" w14:textId="77777777" w:rsidR="00C5322B" w:rsidRDefault="00C5322B" w:rsidP="00C5322B"/>
    <w:p w14:paraId="437CAF53" w14:textId="77777777" w:rsidR="00C5322B" w:rsidRDefault="00C5322B" w:rsidP="00C5322B"/>
    <w:p w14:paraId="4DA48137" w14:textId="77777777" w:rsidR="00C5322B" w:rsidRDefault="00C5322B" w:rsidP="00C5322B"/>
    <w:p w14:paraId="3B9D4E59" w14:textId="77777777" w:rsidR="00C5322B" w:rsidRDefault="00C5322B" w:rsidP="00C5322B"/>
    <w:p w14:paraId="7B982317" w14:textId="77777777" w:rsidR="00C5322B" w:rsidRDefault="00C5322B" w:rsidP="00C5322B"/>
    <w:p w14:paraId="4B0E886B" w14:textId="1CD39216" w:rsidR="00C5322B" w:rsidRPr="00C5322B" w:rsidRDefault="00C5322B" w:rsidP="00C5322B">
      <w:r w:rsidRPr="00C5322B">
        <w:lastRenderedPageBreak/>
        <w:t>Level 1: Internal Processing &amp; Shredding</w:t>
      </w:r>
    </w:p>
    <w:p w14:paraId="07944060" w14:textId="77777777" w:rsidR="00C5322B" w:rsidRPr="00C5322B" w:rsidRDefault="00C5322B" w:rsidP="00C5322B">
      <w:r w:rsidRPr="00C5322B">
        <w:rPr>
          <w:i/>
          <w:iCs/>
        </w:rPr>
        <w:t>This illustrates how the middleware ingests data, shreds it into the Polyglot layer, and fuels the AI predictive logic.</w:t>
      </w:r>
    </w:p>
    <w:p w14:paraId="27EBCA68" w14:textId="7747F085" w:rsidR="00C5322B" w:rsidRPr="008956FD" w:rsidRDefault="00C5322B" w:rsidP="008956FD">
      <w:r w:rsidRPr="00C5322B">
        <w:drawing>
          <wp:inline distT="0" distB="0" distL="0" distR="0" wp14:anchorId="1DE30F89" wp14:editId="1D68439F">
            <wp:extent cx="5783580" cy="5417820"/>
            <wp:effectExtent l="0" t="0" r="7620" b="0"/>
            <wp:docPr id="164705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5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083" cy="54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22B" w:rsidRPr="00895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E57"/>
    <w:multiLevelType w:val="multilevel"/>
    <w:tmpl w:val="3C1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C56D3D"/>
    <w:multiLevelType w:val="multilevel"/>
    <w:tmpl w:val="1E1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603D32"/>
    <w:multiLevelType w:val="multilevel"/>
    <w:tmpl w:val="C53C1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85E00"/>
    <w:multiLevelType w:val="multilevel"/>
    <w:tmpl w:val="DC7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90C1E"/>
    <w:multiLevelType w:val="multilevel"/>
    <w:tmpl w:val="0E9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7648A8"/>
    <w:multiLevelType w:val="multilevel"/>
    <w:tmpl w:val="330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AA1C5A"/>
    <w:multiLevelType w:val="multilevel"/>
    <w:tmpl w:val="CD4C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005946">
    <w:abstractNumId w:val="0"/>
  </w:num>
  <w:num w:numId="2" w16cid:durableId="436877444">
    <w:abstractNumId w:val="3"/>
  </w:num>
  <w:num w:numId="3" w16cid:durableId="331565942">
    <w:abstractNumId w:val="1"/>
  </w:num>
  <w:num w:numId="4" w16cid:durableId="1899776823">
    <w:abstractNumId w:val="2"/>
  </w:num>
  <w:num w:numId="5" w16cid:durableId="1328902856">
    <w:abstractNumId w:val="4"/>
  </w:num>
  <w:num w:numId="6" w16cid:durableId="1968314859">
    <w:abstractNumId w:val="5"/>
  </w:num>
  <w:num w:numId="7" w16cid:durableId="1357852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FD"/>
    <w:rsid w:val="000B2455"/>
    <w:rsid w:val="00886F65"/>
    <w:rsid w:val="008956FD"/>
    <w:rsid w:val="00A6171A"/>
    <w:rsid w:val="00C5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B859"/>
  <w15:chartTrackingRefBased/>
  <w15:docId w15:val="{D59C4BC6-F763-483F-936A-B630667A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2026-05-16T15:43:00Z</dcterms:created>
  <dcterms:modified xsi:type="dcterms:W3CDTF">2026-05-16T16:08:00Z</dcterms:modified>
</cp:coreProperties>
</file>