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ssistant-bold.ttf" ContentType="application/x-font-ttf"/>
  <Override PartName="/word/fonts/Assistant-regular.ttf" ContentType="application/x-font-ttf"/>
  <Override PartName="/word/fonts/BricolageGrotesque-bold.ttf" ContentType="application/x-font-ttf"/>
  <Override PartName="/word/fonts/BricolageGrotesque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nts/NovaMono-regular.ttf" ContentType="application/x-font-ttf"/>
  <Override PartName="/word/fonts/PTMon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Bricolage Grotesque" w:cs="Bricolage Grotesque" w:eastAsia="Bricolage Grotesque" w:hAnsi="Bricolage Grotesque"/>
          <w:sz w:val="26"/>
          <w:szCs w:val="26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color w:val="1e3a5f"/>
          <w:sz w:val="44"/>
          <w:szCs w:val="44"/>
          <w:rtl w:val="0"/>
        </w:rPr>
        <w:t xml:space="preserve">Convention de formation professionnelle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5b87c4" w:space="1" w:sz="6" w:val="single"/>
        </w:pBdr>
        <w:jc w:val="center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color w:val="5b87c4"/>
          <w:rtl w:val="0"/>
        </w:rPr>
        <w:t xml:space="preserve">Articles L.6353-1 et D.6353-1 du Code du travail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1) Parties</w:t>
      </w:r>
    </w:p>
    <w:p w:rsidR="00000000" w:rsidDel="00000000" w:rsidP="00000000" w:rsidRDefault="00000000" w:rsidRPr="00000000" w14:paraId="00000005">
      <w:pPr>
        <w:rPr>
          <w:rFonts w:ascii="Bricolage Grotesque" w:cs="Bricolage Grotesque" w:eastAsia="Bricolage Grotesque" w:hAnsi="Bricolage Grotesque"/>
          <w:b w:val="1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sz w:val="26"/>
          <w:szCs w:val="26"/>
          <w:rtl w:val="0"/>
        </w:rPr>
        <w:t xml:space="preserve">Stagiaire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ssistant" w:cs="Assistant" w:eastAsia="Assistant" w:hAnsi="Assistant"/>
          <w:highlight w:val="red"/>
        </w:rPr>
      </w:pPr>
      <w:r>
        <w:t xml:space="preserve">thomas kerfendal</w:t>
      </w:r>
    </w:p>
    <w:p w:rsidR="00000000" w:rsidDel="00000000" w:rsidP="00000000" w:rsidRDefault="00000000" w:rsidRPr="00000000" w14:paraId="00000008">
      <w:pPr>
        <w:rPr>
          <w:rFonts w:ascii="Assistant" w:cs="Assistant" w:eastAsia="Assistant" w:hAnsi="Assistant"/>
          <w:highlight w:val="red"/>
        </w:rPr>
      </w:pPr>
      <w:r>
        <w:t xml:space="preserve">Représenté par : thomas kerfendal</w:t>
      </w:r>
    </w:p>
    <w:p w:rsidR="00000000" w:rsidDel="00000000" w:rsidP="00000000" w:rsidRDefault="00000000" w:rsidRPr="00000000" w14:paraId="00000009">
      <w:pPr>
        <w:rPr>
          <w:rFonts w:ascii="Bricolage Grotesque" w:cs="Bricolage Grotesque" w:eastAsia="Bricolage Grotesque" w:hAnsi="Bricolage Grotesque"/>
          <w:sz w:val="26"/>
          <w:szCs w:val="26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sz w:val="26"/>
          <w:szCs w:val="26"/>
          <w:rtl w:val="0"/>
        </w:rPr>
        <w:br w:type="textWrapping"/>
        <w:t xml:space="preserve">Organisme de 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ssistant" w:cs="Assistant" w:eastAsia="Assistant" w:hAnsi="Assistant"/>
        </w:rPr>
      </w:pPr>
      <w:r>
        <w:t xml:space="preserve">LDG SCHOOL — SIRET : 98059515100013</w:t>
      </w:r>
    </w:p>
    <w:p w:rsidR="00000000" w:rsidDel="00000000" w:rsidP="00000000" w:rsidRDefault="00000000" w:rsidRPr="00000000" w14:paraId="0000000B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8559A — TVA intracommunautaire :  </w:t>
      </w:r>
    </w:p>
    <w:p w:rsidR="00000000" w:rsidDel="00000000" w:rsidP="00000000" w:rsidRDefault="00000000" w:rsidRPr="00000000" w14:paraId="0000000C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Adresse : 1 rue Fénelon, 51100 Reims</w:t>
      </w:r>
    </w:p>
    <w:p w:rsidR="00000000" w:rsidDel="00000000" w:rsidP="00000000" w:rsidRDefault="00000000" w:rsidRPr="00000000" w14:paraId="0000000D">
      <w:pPr>
        <w:rPr>
          <w:rFonts w:ascii="Assistant" w:cs="Assistant" w:eastAsia="Assistant" w:hAnsi="Assistant"/>
        </w:rPr>
      </w:pPr>
      <w:r>
        <w:t xml:space="preserve">Numéro de déclaration d’activité (NDA) : 44510249451</w:t>
      </w:r>
    </w:p>
    <w:p w:rsidR="00000000" w:rsidDel="00000000" w:rsidP="00000000" w:rsidRDefault="00000000" w:rsidRPr="00000000" w14:paraId="0000000E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2) Objet, intitulé, objectifs, contenu, moyens, organisation</w:t>
      </w:r>
    </w:p>
    <w:p w:rsidR="00000000" w:rsidDel="00000000" w:rsidP="00000000" w:rsidRDefault="00000000" w:rsidRPr="00000000" w14:paraId="0000000F">
      <w:pPr>
        <w:pStyle w:val="Heading2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Intitulé de l’action</w:t>
      </w:r>
    </w:p>
    <w:p w:rsidR="00000000" w:rsidDel="00000000" w:rsidP="00000000" w:rsidRDefault="00000000" w:rsidRPr="00000000" w14:paraId="00000010">
      <w:pPr>
        <w:rPr>
          <w:rFonts w:ascii="Assistant" w:cs="Assistant" w:eastAsia="Assistant" w:hAnsi="Assistant"/>
        </w:rPr>
      </w:pPr>
      <w:r>
        <w:rPr>
          <w:rFonts w:ascii="Assistant" w:hAnsi="Assistant"/>
        </w:rPr>
        <w:t xml:space="preserve">Organiser et exploiter des données métier avec des outils no-code</w:t>
      </w:r>
    </w:p>
    <w:p w:rsidR="00000000" w:rsidDel="00000000" w:rsidP="00000000" w:rsidRDefault="00000000" w:rsidRPr="00000000" w14:paraId="00000011">
      <w:pPr>
        <w:spacing w:after="0" w:line="276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color w:val="2e5a8f"/>
          <w:sz w:val="26"/>
          <w:szCs w:val="26"/>
          <w:rtl w:val="0"/>
        </w:rPr>
        <w:t xml:space="preserve">Catégorie d’action de formation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line="276" w:lineRule="auto"/>
        <w:jc w:val="both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Action de formation (article L.6313-1 du code du travail).</w:t>
        <w:br w:type="textWrapping"/>
      </w: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after="0" w:line="276" w:lineRule="auto"/>
        <w:jc w:val="both"/>
        <w:rPr>
          <w:rFonts w:ascii="Bricolage Grotesque" w:cs="Bricolage Grotesque" w:eastAsia="Bricolage Grotesque" w:hAnsi="Bricolage Grotesque"/>
          <w:b w:val="1"/>
          <w:color w:val="2e5a8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jc w:val="both"/>
        <w:rPr>
          <w:rFonts w:ascii="Bricolage Grotesque" w:cs="Bricolage Grotesque" w:eastAsia="Bricolage Grotesque" w:hAnsi="Bricolage Grotesque"/>
          <w:b w:val="1"/>
          <w:color w:val="2e5a8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jc w:val="both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color w:val="2e5a8f"/>
          <w:sz w:val="26"/>
          <w:szCs w:val="26"/>
          <w:rtl w:val="0"/>
        </w:rPr>
        <w:t xml:space="preserve">Objectif professionnel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ssistant" w:cs="Assistant" w:eastAsia="Assistant" w:hAnsi="Assistant"/>
        </w:rPr>
      </w:pPr>
      <w:r>
        <w:rPr>
          <w:rFonts w:ascii="Assistant" w:hAnsi="Assistant"/>
        </w:rPr>
        <w:t xml:space="preserve">À l'issue de cette formation, le stagiaire sera capable de :</w:t>
      </w:r>
      <w:r>
        <w:br/>
      </w:r>
      <w:r>
        <w:rPr>
          <w:rFonts w:ascii="Assistant" w:hAnsi="Assistant"/>
        </w:rPr>
        <w:t/>
      </w:r>
      <w:r>
        <w:br/>
      </w:r>
      <w:r>
        <w:rPr>
          <w:rFonts w:ascii="Assistant" w:hAnsi="Assistant"/>
        </w:rPr>
        <w:t xml:space="preserve">1. Concevoir l'architecture d'une base de données métier en modélisant un</w:t>
      </w:r>
      <w:r>
        <w:br/>
      </w:r>
      <w:r>
        <w:rPr>
          <w:rFonts w:ascii="Assistant" w:hAnsi="Assistant"/>
        </w:rPr>
        <w:t/>
      </w:r>
      <w:r>
        <w:br/>
      </w:r>
      <w:r>
        <w:rPr>
          <w:rFonts w:ascii="Assistant" w:hAnsi="Assistant"/>
        </w:rPr>
        <w:t xml:space="preserve">diagramme de relations entre entités (ERD) compatible avec les outils</w:t>
      </w:r>
      <w:r>
        <w:br/>
      </w:r>
      <w:r>
        <w:rPr>
          <w:rFonts w:ascii="Assistant" w:hAnsi="Assistant"/>
        </w:rPr>
        <w:t/>
      </w:r>
      <w:r>
        <w:br/>
      </w:r>
      <w:r>
        <w:rPr>
          <w:rFonts w:ascii="Assistant" w:hAnsi="Assistant"/>
        </w:rPr>
        <w:t xml:space="preserve">no-code, à partir d'une expression de besoin formalisée.</w:t>
      </w:r>
      <w:r>
        <w:br/>
      </w:r>
      <w:r>
        <w:rPr>
          <w:rFonts w:ascii="Assistant" w:hAnsi="Assistant"/>
        </w:rPr>
        <w:t/>
      </w:r>
      <w:r>
        <w:br/>
      </w:r>
      <w:r>
        <w:rPr>
          <w:rFonts w:ascii="Assistant" w:hAnsi="Assistant"/>
        </w:rPr>
        <w:t xml:space="preserve">2. Structurer une politique de gouvernance des données en définissant les</w:t>
      </w:r>
      <w:r>
        <w:br/>
      </w:r>
      <w:r>
        <w:rPr>
          <w:rFonts w:ascii="Assistant" w:hAnsi="Assistant"/>
        </w:rPr>
        <w:t/>
      </w:r>
      <w:r>
        <w:br/>
      </w:r>
      <w:r>
        <w:rPr>
          <w:rFonts w:ascii="Assistant" w:hAnsi="Assistant"/>
        </w:rPr>
        <w:t xml:space="preserve">rôles, les droits d'accès et les règles de gestion, afin de garantir</w:t>
      </w:r>
      <w:r>
        <w:br/>
      </w:r>
      <w:r>
        <w:rPr>
          <w:rFonts w:ascii="Assistant" w:hAnsi="Assistant"/>
        </w:rPr>
        <w:t/>
      </w:r>
      <w:r>
        <w:br/>
      </w:r>
      <w:r>
        <w:rPr>
          <w:rFonts w:ascii="Assistant" w:hAnsi="Assistant"/>
        </w:rPr>
        <w:t xml:space="preserve">la qualité et la sécurité des données.</w:t>
      </w:r>
      <w:r>
        <w:br/>
      </w:r>
      <w:r>
        <w:rPr>
          <w:rFonts w:ascii="Assistant" w:hAnsi="Assistant"/>
        </w:rPr>
        <w:t/>
      </w:r>
      <w:r>
        <w:br/>
      </w:r>
      <w:r>
        <w:rPr>
          <w:rFonts w:ascii="Assistant" w:hAnsi="Assistant"/>
        </w:rPr>
        <w:t xml:space="preserve">3. Construire une base de données no-code (Airtable, Notion, NocoDB) en</w:t>
      </w:r>
      <w:r>
        <w:br/>
      </w:r>
      <w:r>
        <w:rPr>
          <w:rFonts w:ascii="Assistant" w:hAnsi="Assistant"/>
        </w:rPr>
        <w:t/>
      </w:r>
      <w:r>
        <w:br/>
      </w:r>
      <w:r>
        <w:rPr>
          <w:rFonts w:ascii="Assistant" w:hAnsi="Assistant"/>
        </w:rPr>
        <w:t xml:space="preserve">centralisant les données métier dans le respect des standards de sécurité</w:t>
      </w:r>
      <w:r>
        <w:br/>
      </w:r>
      <w:r>
        <w:rPr>
          <w:rFonts w:ascii="Assistant" w:hAnsi="Assistant"/>
        </w:rPr>
        <w:t/>
      </w:r>
      <w:r>
        <w:br/>
      </w:r>
      <w:r>
        <w:rPr>
          <w:rFonts w:ascii="Assistant" w:hAnsi="Assistant"/>
        </w:rPr>
        <w:t xml:space="preserve">et de conformité RGPD.</w:t>
      </w:r>
      <w:r>
        <w:br/>
      </w:r>
      <w:r>
        <w:rPr>
          <w:rFonts w:ascii="Assistant" w:hAnsi="Assistant"/>
        </w:rPr>
        <w:t/>
      </w:r>
      <w:r>
        <w:br/>
      </w:r>
      <w:r>
        <w:rPr>
          <w:rFonts w:ascii="Assistant" w:hAnsi="Assistant"/>
        </w:rPr>
        <w:t xml:space="preserve">4. Exploiter les données via les fonctionnalités de traitement, visualisation</w:t>
      </w:r>
      <w:r>
        <w:br/>
      </w:r>
      <w:r>
        <w:rPr>
          <w:rFonts w:ascii="Assistant" w:hAnsi="Assistant"/>
        </w:rPr>
        <w:t/>
      </w:r>
      <w:r>
        <w:br/>
      </w:r>
      <w:r>
        <w:rPr>
          <w:rFonts w:ascii="Assistant" w:hAnsi="Assistant"/>
        </w:rPr>
        <w:t xml:space="preserve">et extraction des outils no-code pour produire des dashboards et reportings</w:t>
      </w:r>
      <w:r>
        <w:br/>
      </w:r>
      <w:r>
        <w:rPr>
          <w:rFonts w:ascii="Assistant" w:hAnsi="Assistant"/>
        </w:rPr>
        <w:t/>
      </w:r>
      <w:r>
        <w:br/>
      </w:r>
      <w:r>
        <w:rPr>
          <w:rFonts w:ascii="Assistant" w:hAnsi="Assistant"/>
        </w:rPr>
        <w:t xml:space="preserve">actionnables.</w:t>
      </w:r>
      <w:r>
        <w:br/>
      </w:r>
      <w:r>
        <w:rPr>
          <w:rFonts w:ascii="Assistant" w:hAnsi="Assistant"/>
        </w:rPr>
        <w:t/>
      </w:r>
      <w:r>
        <w:br/>
      </w:r>
      <w:r>
        <w:rPr>
          <w:rFonts w:ascii="Assistant" w:hAnsi="Assistant"/>
        </w:rPr>
        <w:t xml:space="preserve">5. Créer des interfaces de manipulation des données en connectant la base à</w:t>
      </w:r>
      <w:r>
        <w:br/>
      </w:r>
      <w:r>
        <w:rPr>
          <w:rFonts w:ascii="Assistant" w:hAnsi="Assistant"/>
        </w:rPr>
        <w:t/>
      </w:r>
      <w:r>
        <w:br/>
      </w:r>
      <w:r>
        <w:rPr>
          <w:rFonts w:ascii="Assistant" w:hAnsi="Assistant"/>
        </w:rPr>
        <w:t xml:space="preserve">des services tiers via API sécurisée afin d'automatiser les flux</w:t>
      </w:r>
      <w:r>
        <w:br/>
      </w:r>
      <w:r>
        <w:rPr>
          <w:rFonts w:ascii="Assistant" w:hAnsi="Assistant"/>
        </w:rPr>
        <w:t/>
      </w:r>
      <w:r>
        <w:br/>
      </w:r>
      <w:r>
        <w:rPr>
          <w:rFonts w:ascii="Assistant" w:hAnsi="Assistant"/>
        </w:rPr>
        <w:t xml:space="preserve">d'information entre les outils métier.</w:t>
      </w:r>
      <w:r>
        <w:br/>
      </w:r>
      <w:r>
        <w:rPr>
          <w:rFonts w:ascii="Assistant" w:hAnsi="Assistant"/>
        </w:rPr>
        <w:t/>
      </w:r>
      <w:r>
        <w:br/>
      </w:r>
      <w:r>
        <w:rPr>
          <w:rFonts w:ascii="Assistant" w:hAnsi="Assistant"/>
        </w:rPr>
        <w:t/>
      </w:r>
    </w:p>
    <w:p w:rsidR="00000000" w:rsidDel="00000000" w:rsidP="00000000" w:rsidRDefault="00000000" w:rsidRPr="00000000" w14:paraId="00000017">
      <w:pPr>
        <w:pStyle w:val="Heading2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br w:type="textWrapping"/>
        <w:t xml:space="preserve">Contenu pédagogique (synthèse)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ssistant" w:cs="Assistant" w:eastAsia="Assistant" w:hAnsi="Assistant"/>
          <w:color w:val="44546a"/>
          <w:sz w:val="20"/>
          <w:szCs w:val="20"/>
          <w:highlight w:val="yellow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A l’issue des différentes séquences et modules de formation, le stagiaire sera capable de</w:t>
      </w:r>
      <w:r w:rsidDel="00000000" w:rsidR="00000000" w:rsidRPr="00000000">
        <w:rPr>
          <w:rFonts w:ascii="Assistant" w:cs="Assistant" w:eastAsia="Assistant" w:hAnsi="Assistant"/>
          <w:color w:val="44546a"/>
          <w:sz w:val="20"/>
          <w:szCs w:val="20"/>
          <w:rtl w:val="0"/>
        </w:rPr>
        <w:t xml:space="preserve">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720" w:hanging="360"/>
      </w:pPr>
      <w:r>
        <w:rPr>
          <w:rFonts w:ascii="Calibri" w:hAnsi="Calibri"/>
        </w:rPr>
        <w:t/>
      </w:r>
    </w:p>
    <w:p w:rsidR="00000000" w:rsidDel="00000000" w:rsidP="00000000" w:rsidRDefault="00000000" w:rsidRPr="00000000" w14:paraId="00000023">
      <w:pPr>
        <w:pStyle w:val="Heading2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br w:type="textWrapping"/>
      </w: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Moyens pédagogiques &amp; techniques</w:t>
      </w:r>
    </w:p>
    <w:p w:rsidR="00000000" w:rsidDel="00000000" w:rsidP="00000000" w:rsidRDefault="00000000" w:rsidRPr="00000000" w14:paraId="00000024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Exposés interactifs, démonstrations, études de cas, ateliers guidés, QCM/quiz ; support PDF, fiches pratiques, modèles de prompts, gabarits tableur/slides ; salle équipée (vidéoprojecteur/écran) et un ordinateur par participant. Accès aux outils : ChatGPT et Cursor.</w:t>
      </w:r>
    </w:p>
    <w:p w:rsidR="00000000" w:rsidDel="00000000" w:rsidP="00000000" w:rsidRDefault="00000000" w:rsidRPr="00000000" w14:paraId="00000025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Les comptes et licences logiciels nécessaires sont fournis par le stagiaire ou mis à disposition par l'Organisme.</w:t>
        <w:br w:type="textWrapping"/>
      </w:r>
    </w:p>
    <w:p w:rsidR="00000000" w:rsidDel="00000000" w:rsidP="00000000" w:rsidRDefault="00000000" w:rsidRPr="00000000" w14:paraId="00000026">
      <w:pPr>
        <w:pStyle w:val="Heading2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Modalité, lieu, durée et horaires</w:t>
      </w:r>
    </w:p>
    <w:p w:rsidR="00000000" w:rsidDel="00000000" w:rsidP="00000000" w:rsidRDefault="00000000" w:rsidRPr="00000000" w14:paraId="00000027">
      <w:pPr>
        <w:rPr>
          <w:rFonts w:ascii="Assistant" w:cs="Assistant" w:eastAsia="Assistant" w:hAnsi="Assistant"/>
        </w:rPr>
      </w:pPr>
      <w:r>
        <w:t xml:space="preserve">Modalité : distanciel (taux des enseignements dispensés à distance : 100 %).</w:t>
      </w:r>
    </w:p>
    <w:p w:rsidR="00000000" w:rsidDel="00000000" w:rsidP="00000000" w:rsidRDefault="00000000" w:rsidRPr="00000000" w14:paraId="00000028">
      <w:pPr>
        <w:rPr>
          <w:rFonts w:ascii="Assistant" w:cs="Assistant" w:eastAsia="Assistant" w:hAnsi="Assistant"/>
          <w:highlight w:val="red"/>
        </w:rPr>
      </w:pPr>
      <w:r>
        <w:t xml:space="preserve">Lieu : Distanciel</w:t>
      </w:r>
    </w:p>
    <w:p w:rsidR="00000000" w:rsidDel="00000000" w:rsidP="00000000" w:rsidRDefault="00000000" w:rsidRPr="00000000" w14:paraId="00000029">
      <w:pPr>
        <w:rPr>
          <w:rFonts w:ascii="Assistant" w:cs="Assistant" w:eastAsia="Assistant" w:hAnsi="Assistant"/>
        </w:rPr>
      </w:pPr>
      <w:r>
        <w:t xml:space="preserve">Durée : 16 heures sur 4 jours.</w:t>
      </w:r>
    </w:p>
    <w:p w:rsidR="00000000" w:rsidDel="00000000" w:rsidP="00000000" w:rsidRDefault="00000000" w:rsidRPr="00000000" w14:paraId="0000002A">
      <w:pPr>
        <w:rPr>
          <w:rFonts w:ascii="Assistant" w:cs="Assistant" w:eastAsia="Assistant" w:hAnsi="Assistant"/>
          <w:highlight w:val="red"/>
        </w:rPr>
      </w:pPr>
      <w:r>
        <w:t xml:space="preserve">Période / dates : du 4 mai 2026 au 31 mai 2026</w:t>
      </w:r>
    </w:p>
    <w:p w:rsidR="00000000" w:rsidDel="00000000" w:rsidP="00000000" w:rsidRDefault="00000000" w:rsidRPr="00000000" w14:paraId="0000002B">
      <w:pPr>
        <w:rPr>
          <w:rFonts w:ascii="Assistant" w:cs="Assistant" w:eastAsia="Assistant" w:hAnsi="Assistant"/>
        </w:rPr>
      </w:pPr>
      <w:r>
        <w:t xml:space="preserve">Horaires : 9h00-12h30 et 14h00-17h30.</w:t>
      </w:r>
    </w:p>
    <w:p w:rsidR="00000000" w:rsidDel="00000000" w:rsidP="00000000" w:rsidRDefault="00000000" w:rsidRPr="00000000" w14:paraId="0000002C">
      <w:pPr>
        <w:rPr>
          <w:rFonts w:ascii="Assistant" w:cs="Assistant" w:eastAsia="Assistant" w:hAnsi="Assistant"/>
        </w:rPr>
      </w:pPr>
      <w:r>
        <w:t xml:space="preserve">Effectif : 1 à 1 participant(s).</w:t>
      </w:r>
    </w:p>
    <w:p w:rsidR="00000000" w:rsidDel="00000000" w:rsidP="00000000" w:rsidRDefault="00000000" w:rsidRPr="00000000" w14:paraId="0000002D">
      <w:pPr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3) Participants (liste nominative)</w:t>
        <w:br w:type="textWrapping"/>
      </w:r>
    </w:p>
    <w:tbl>
      <w:tblPr>
        <w:tblStyle w:val="Table1"/>
        <w:tblW w:w="94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5"/>
        <w:gridCol w:w="2160"/>
        <w:gridCol w:w="2160"/>
        <w:gridCol w:w="2790"/>
        <w:tblGridChange w:id="0">
          <w:tblGrid>
            <w:gridCol w:w="2385"/>
            <w:gridCol w:w="2160"/>
            <w:gridCol w:w="2160"/>
            <w:gridCol w:w="2790"/>
          </w:tblGrid>
        </w:tblGridChange>
      </w:tblGrid>
      <w:tr>
        <w:trPr>
          <w:cantSplit w:val="0"/>
          <w:trHeight w:val="852.5659926075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color w:val="1e3a5f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color w:val="1e3a5f"/>
                <w:rtl w:val="0"/>
              </w:rPr>
              <w:t xml:space="preserve">Prénom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color w:val="1e3a5f"/>
                <w:rtl w:val="0"/>
              </w:rPr>
              <w:t xml:space="preserve">Fonction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color w:val="1e3a5f"/>
                <w:rtl w:val="0"/>
              </w:rPr>
              <w:t xml:space="preserve">E-mail professionnel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2385"/>
          </w:tcPr>
          <w:p>
            <w:r>
              <w:t xml:space="preserve">kerfendal</w:t>
            </w:r>
          </w:p>
        </w:tc>
        <w:tc>
          <w:tcPr>
            <w:tcW w:type="dxa" w:w="2160"/>
          </w:tcPr>
          <w:p>
            <w:r>
              <w:t xml:space="preserve">thomas</w:t>
            </w:r>
          </w:p>
        </w:tc>
        <w:tc>
          <w:tcPr>
            <w:tcW w:type="dxa" w:w="2160"/>
          </w:tcPr>
          <w:p>
            <w:r>
              <w:t xml:space="preserve">Stagiaire</w:t>
            </w:r>
          </w:p>
        </w:tc>
        <w:tc>
          <w:tcPr>
            <w:tcW w:type="dxa" w:w="2790"/>
          </w:tcPr>
          <w:p>
            <w:r>
              <w:t xml:space="preserve">tomkerf@gmail.com</w:t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4) Encadrement, accessibilité, déroulement, suivi et sanction</w:t>
      </w:r>
    </w:p>
    <w:p w:rsidR="00000000" w:rsidDel="00000000" w:rsidP="00000000" w:rsidRDefault="00000000" w:rsidRPr="00000000" w14:paraId="0000004E">
      <w:pPr>
        <w:pStyle w:val="Heading2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Encadrement &amp; accessibilité</w:t>
      </w:r>
    </w:p>
    <w:p w:rsidR="00000000" w:rsidDel="00000000" w:rsidP="00000000" w:rsidRDefault="00000000" w:rsidRPr="00000000" w14:paraId="0000004F">
      <w:pPr>
        <w:rPr>
          <w:rFonts w:ascii="Assistant" w:cs="Assistant" w:eastAsia="Assistant" w:hAnsi="Assistant"/>
        </w:rPr>
      </w:pPr>
      <w:sdt>
        <w:sdtPr>
          <w:id w:val="1168450846"/>
          <w:tag w:val="goog_rdk_2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Animation par un·e formateur·rice expert·e en IA appliquée (≥7 ans). Référent handicap mobilisable pour aménagements.</w:t>
          </w:r>
        </w:sdtContent>
      </w:sdt>
    </w:p>
    <w:p w:rsidR="00000000" w:rsidDel="00000000" w:rsidP="00000000" w:rsidRDefault="00000000" w:rsidRPr="00000000" w14:paraId="00000050">
      <w:pPr>
        <w:pStyle w:val="Heading2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Déroulement &amp; suivi de l’exécution</w:t>
      </w:r>
    </w:p>
    <w:p w:rsidR="00000000" w:rsidDel="00000000" w:rsidP="00000000" w:rsidRDefault="00000000" w:rsidRPr="00000000" w14:paraId="00000051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Parcours alternant apports, démonstrations et ateliers contextualisés. Feuilles d’émargement signées par session (stagiaires et formateur). Compte rendu et livrables remis à l’issue.</w:t>
      </w:r>
    </w:p>
    <w:p w:rsidR="00000000" w:rsidDel="00000000" w:rsidP="00000000" w:rsidRDefault="00000000" w:rsidRPr="00000000" w14:paraId="00000052">
      <w:pPr>
        <w:pStyle w:val="Heading2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Évaluation des acquis</w:t>
      </w:r>
    </w:p>
    <w:p w:rsidR="00000000" w:rsidDel="00000000" w:rsidP="00000000" w:rsidRDefault="00000000" w:rsidRPr="00000000" w14:paraId="00000053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QCM de positionnement, quiz de fin de séquence et cas pratiques. Évaluation finale : soutenance d’un plan d’action IA / mini‑projet.</w:t>
      </w:r>
    </w:p>
    <w:p w:rsidR="00000000" w:rsidDel="00000000" w:rsidP="00000000" w:rsidRDefault="00000000" w:rsidRPr="00000000" w14:paraId="00000054">
      <w:pPr>
        <w:pStyle w:val="Heading2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Sanction de la formation</w:t>
      </w:r>
    </w:p>
    <w:p w:rsidR="00000000" w:rsidDel="00000000" w:rsidP="00000000" w:rsidRDefault="00000000" w:rsidRPr="00000000" w14:paraId="00000055">
      <w:pPr>
        <w:rPr>
          <w:rFonts w:ascii="Assistant" w:cs="Assistant" w:eastAsia="Assistant" w:hAnsi="Assistant"/>
        </w:rPr>
      </w:pPr>
      <w:sdt>
        <w:sdtPr>
          <w:id w:val="720654958"/>
          <w:tag w:val="goog_rdk_3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Remise d’une attestation individuelle mentionnant les objectifs, la nature, la durée et les résultats de l’évaluation des acquis. Attestation si présence ≥ 75 % + restitution de l’étude de cas finale.</w:t>
          </w:r>
        </w:sdtContent>
      </w:sdt>
    </w:p>
    <w:p w:rsidR="00000000" w:rsidDel="00000000" w:rsidP="00000000" w:rsidRDefault="00000000" w:rsidRPr="00000000" w14:paraId="00000056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5) Prix et modalités de règlement</w:t>
      </w:r>
    </w:p>
    <w:p w:rsidR="00000000" w:rsidDel="00000000" w:rsidP="00000000" w:rsidRDefault="00000000" w:rsidRPr="00000000" w14:paraId="00000057">
      <w:pPr>
        <w:rPr>
          <w:rFonts w:ascii="Assistant" w:cs="Assistant" w:eastAsia="Assistant" w:hAnsi="Assistant"/>
        </w:rPr>
      </w:pPr>
      <w:r>
        <w:br/>
        <w:t xml:space="preserve">Prix de l'action : </w:t>
      </w:r>
      <w:r>
        <w:rPr>
          <w:b/>
        </w:rPr>
        <w:t xml:space="preserve">1 600 € HT / 1600 € (TVA non applicable) TTC</w:t>
      </w:r>
      <w:r>
        <w:t xml:space="preserve"> (net de TVA)</w:t>
        <w:br/>
      </w:r>
      <w:r>
        <w:t xml:space="preserve">Frais de déplacement et d'hébergement : </w:t>
      </w:r>
      <w:r>
        <w:rPr>
          <w:b/>
        </w:rPr>
        <w:t xml:space="preserve">Inclus</w:t>
      </w:r>
      <w:r>
        <w:t xml:space="preserve"> (net de TVA)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Assistant" w:cs="Assistant" w:eastAsia="Assistant" w:hAnsi="Assistant"/>
        </w:rPr>
      </w:pPr>
      <w:r>
        <w:rPr>
          <w:rFonts w:ascii="Assistant" w:hAnsi="Assistant"/>
        </w:rPr>
        <w:t xml:space="preserve">Solde : Règlement effectué directement via Mon Compte Formation (CPF)</w:t>
      </w:r>
    </w:p>
    <w:p w:rsidR="00000000" w:rsidDel="00000000" w:rsidP="00000000" w:rsidRDefault="00000000" w:rsidRPr="00000000" w14:paraId="0000005A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Le prix inclut la préparation pédagogique, l’animation, les supports et droits d’usage internes.</w:t>
        <w:br w:type="textWrapping"/>
      </w:r>
    </w:p>
    <w:p w:rsidR="00000000" w:rsidDel="00000000" w:rsidP="00000000" w:rsidRDefault="00000000" w:rsidRPr="00000000" w14:paraId="00000061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6) Non‑réalisation, report et annulation</w:t>
      </w:r>
    </w:p>
    <w:p w:rsidR="00000000" w:rsidDel="00000000" w:rsidP="00000000" w:rsidRDefault="00000000" w:rsidRPr="00000000" w14:paraId="00000062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br w:type="textWrapping"/>
        <w:t xml:space="preserve">En cas d’inexécution totale ou partielle, l’Organisme rembourse au cocontractant les sommes indûment perçues (art. L.6354-1).</w:t>
      </w:r>
    </w:p>
    <w:p w:rsidR="00000000" w:rsidDel="00000000" w:rsidP="00000000" w:rsidRDefault="00000000" w:rsidRPr="00000000" w14:paraId="00000063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Report possible d’un commun accord dans les 8 semaines suivant la date initiale. Annulation par le Stagiaire &lt; 10 jours ouvrés : frais de dédit de 10 % du prix. Annulation par l’Organisme : remboursement intégral des sommes perçues et proposition de nouvelles dates.</w:t>
      </w:r>
    </w:p>
    <w:p w:rsidR="00000000" w:rsidDel="00000000" w:rsidP="00000000" w:rsidRDefault="00000000" w:rsidRPr="00000000" w14:paraId="00000064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7) Propriété intellectuelle &amp; confidentialité</w:t>
      </w:r>
    </w:p>
    <w:p w:rsidR="00000000" w:rsidDel="00000000" w:rsidP="00000000" w:rsidRDefault="00000000" w:rsidRPr="00000000" w14:paraId="00000065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Les supports et modèles remis restent la propriété de l’Organisme ; leur diffusion externe est interdite sans accord écrit. Les informations échangées et livrables sont confidentiels et réservés à un usage interne.</w:t>
      </w:r>
    </w:p>
    <w:p w:rsidR="00000000" w:rsidDel="00000000" w:rsidP="00000000" w:rsidRDefault="00000000" w:rsidRPr="00000000" w14:paraId="00000066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8) Données personnelles (RGPD)</w:t>
      </w:r>
    </w:p>
    <w:p w:rsidR="00000000" w:rsidDel="00000000" w:rsidP="00000000" w:rsidRDefault="00000000" w:rsidRPr="00000000" w14:paraId="00000067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Traitements limités à la gestion de la formation (inscriptions, émargements, attestations, évaluations). Exercice des droits via hello@ladinguerie.fr. Pas de transmission à des tiers hors obligations légales.</w:t>
      </w:r>
    </w:p>
    <w:p w:rsidR="00000000" w:rsidDel="00000000" w:rsidP="00000000" w:rsidRDefault="00000000" w:rsidRPr="00000000" w14:paraId="00000068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9) Litiges</w:t>
      </w:r>
    </w:p>
    <w:p w:rsidR="00000000" w:rsidDel="00000000" w:rsidP="00000000" w:rsidRDefault="00000000" w:rsidRPr="00000000" w14:paraId="00000069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Droit français. À défaut d’accord amiable dans les 30 jours, compétence des tribunaux du siège de l’Organisme de formation.</w:t>
      </w:r>
    </w:p>
    <w:p w:rsidR="00000000" w:rsidDel="00000000" w:rsidP="00000000" w:rsidRDefault="00000000" w:rsidRPr="00000000" w14:paraId="0000006A">
      <w:pPr>
        <w:pStyle w:val="Heading1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br w:type="textWrapping"/>
        <w:t xml:space="preserve">Signatures</w:t>
      </w:r>
    </w:p>
    <w:tbl>
      <w:tblPr>
        <w:tblStyle w:val="Table2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Assistant" w:cs="Assistant" w:eastAsia="Assistant" w:hAnsi="Assistant"/>
              </w:rPr>
            </w:pPr>
            <w:r>
              <w:t xml:space="preserve">Pour thomas kerfendal (le Stagiaire)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Pour LDG SCHOOL (l’Organisme de formation)</w:t>
              <w:br/>
              <w:t>Nom, qualité, signature et cachet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Assistant" w:cs="Assistant" w:eastAsia="Assistant" w:hAnsi="Assistant"/>
              </w:rPr>
            </w:pPr>
            <w:r>
              <w:t xml:space="preserve">thomas kerfendal, Stagiaire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ssistant" w:cs="Assistant" w:eastAsia="Assistant" w:hAnsi="Assistant"/>
                <w:b w:val="1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rtl w:val="0"/>
              </w:rPr>
              <w:t xml:space="preserve">Younes BELKHARRAF, Président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2"/>
              </w:rPr>
              <w:br/>
              <w:t xml:space="preserve">Fait à Paris, le 14 avril 2026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2"/>
              </w:rPr>
              <w:br/>
              <w:t xml:space="preserve">Fait à Paris, le 14 avril 2026</w:t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br w:type="textWrapping"/>
        <w:t xml:space="preserve">Annexes (docs en pièces jointes)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Programme pé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d</w:t>
      </w:r>
      <w:r w:rsidDel="00000000" w:rsidR="00000000" w:rsidRPr="00000000">
        <w:rPr>
          <w:rFonts w:ascii="Assistant" w:cs="Assistant" w:eastAsia="Assistant" w:hAnsi="Assistant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agogique détaillé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Règlement intérieur applicable aux stagiaires (si accueil dans vos locaux)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Assistant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Bricolage Grotesque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  <w:font w:name="PT Mono">
    <w:embedRegular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1e3a5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2e5a8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oogle.com/maps/place//data=!4m2!3m1!1s0x480593711ff919fb:0xc9a9dc8dae542b8f?sa=X&amp;ved=1t:8290&amp;ictx=111" TargetMode="Externa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BricolageGrotesque-regular.ttf"/><Relationship Id="rId6" Type="http://schemas.openxmlformats.org/officeDocument/2006/relationships/font" Target="fonts/BricolageGrotesque-bold.ttf"/><Relationship Id="rId7" Type="http://schemas.openxmlformats.org/officeDocument/2006/relationships/font" Target="fonts/NovaMono-regular.ttf"/><Relationship Id="rId8" Type="http://schemas.openxmlformats.org/officeDocument/2006/relationships/font" Target="fonts/PT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fw6Wm4H20sksE6A2wpI5k9xwTg==">CgMxLjAaIQoBMBIcChoIB0IWCglBc3Npc3RhbnQSCU5vdmEgTW9ubxohCgExEhwKGggHQhYKCUFzc2lzdGFudBIJTm92YSBNb25vGiEKATISHAoaCAdCFgoJQXNzaXN0YW50EglOb3ZhIE1vbm8aIQoBMxIcChoIB0IWCglBc3Npc3RhbnQSCU5vdmEgTW9ubxofCgE0EhoKGAgHQhQKCUFzc2lzdGFudBIHUFQgTW9ubxofCgE1EhoKGAgHQhQKCUFzc2lzdGFudBIHUFQgTW9ubxofCgE2EhoKGAgHQhQKCUFzc2lzdGFudBIHUFQgTW9ubxofCgE3EhoKGAgHQhQKCUFzc2lzdGFudBIHUFQgTW9ubxofCgE4EhoKGAgHQhQKCUFzc2lzdGFudBIHUFQgTW9ubxofCgE5EhoKGAgHQhQKCUFzc2lzdGFudBIHUFQgTW9ubxogCgIxMBIaChgIB0IUCglBc3Npc3RhbnQSB1BUIE1vbm84AHIhMTFkMk1TQ3dYQVdvZlpPcGtDZ1pubFVlc1Z3clFBNl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