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sz w:val="48"/>
          <w:szCs w:val="48"/>
        </w:rPr>
        <w:t xml:space="preserve">Master’s Thesis Candidates</w:t>
      </w:r>
    </w:p>
    <w:p>
      <w:pPr>
        <w:spacing w:after="80"/>
        <w:jc w:val="center"/>
      </w:pPr>
      <w:r>
        <w:rPr>
          <w:rFonts w:ascii="Arial" w:cs="Arial" w:eastAsia="Arial" w:hAnsi="Arial"/>
          <w:i/>
          <w:iCs/>
          <w:sz w:val="28"/>
          <w:szCs w:val="28"/>
        </w:rPr>
        <w:t xml:space="preserve">ML directions anchored on the OP model code base</w:t>
      </w:r>
    </w:p>
    <w:p>
      <w:pPr>
        <w:spacing w:after="360"/>
        <w:jc w:val="center"/>
      </w:pPr>
      <w:r>
        <w:rPr>
          <w:rFonts w:ascii="Arial" w:cs="Arial" w:eastAsia="Arial" w:hAnsi="Arial"/>
          <w:sz w:val="22"/>
          <w:szCs w:val="22"/>
        </w:rPr>
        <w:t xml:space="preserve">Prepared for Tom Koresleźjak — May 2026</w:t>
      </w:r>
    </w:p>
    <w:p>
      <w:pPr>
        <w:pStyle w:val="Heading1"/>
        <w:spacing w:after="200" w:before="360"/>
      </w:pPr>
      <w:r>
        <w:t xml:space="preserve">Framing</w:t>
      </w:r>
    </w:p>
    <w:p>
      <w:pPr>
        <w:spacing w:after="120" w:line="300"/>
        <w:jc w:val="both"/>
      </w:pPr>
      <w:r>
        <w:t xml:space="preserve">This document collects seven candidate directions for an ML-focused master’s thesis, each anchored on the existing reconstructed quant-model code in /Quant Model/OP model/. Every candidate is sized for a master’s timeline, leverages mathematics already in your toolkit (calculus, ODEs / PDEs, Sturm–Liouville, Green’s functions, tensors, quantum mechanics / variational principle, linear algebra, probability), and avoids reliance on stochastic calculus, which is currently outside your training. None of the candidates is so niche that it would fail to transfer to a quant career; the strongest from a career-value perspective are flagged at the end.</w:t>
      </w:r>
    </w:p>
    <w:p>
      <w:pPr>
        <w:spacing w:after="120" w:line="300"/>
        <w:jc w:val="both"/>
      </w:pPr>
      <w:r>
        <w:t xml:space="preserve">Each idea is presented in the same shape: the source file in OP model that supplies a starting baseline, the thesis question, the mathematical content you would actually write into the document, why it fits your profile specifically, and the literature you would cite as anchors.</w:t>
      </w:r>
    </w:p>
    <w:p>
      <w:pPr>
        <w:pBdr>
          <w:bottom w:val="single" w:color="AAAAAA" w:sz="6" w:space="1"/>
        </w:pBdr>
        <w:spacing w:after="200" w:before="200"/>
      </w:pPr>
      <w:r>
        <w:t xml:space="preserve"/>
      </w:r>
    </w:p>
    <w:p>
      <w:pPr>
        <w:pStyle w:val="Heading2"/>
        <w:spacing w:after="160" w:before="280"/>
      </w:pPr>
      <w:r>
        <w:t xml:space="preserve">Idea 1 — Regime-conditional Mixture-of-Experts (NEC)</w:t>
      </w:r>
    </w:p>
    <w:p>
      <w:pPr>
        <w:spacing w:after="100" w:line="300"/>
        <w:jc w:val="both"/>
      </w:pPr>
      <w:r>
        <w:rPr>
          <w:b/>
          <w:bCs/>
        </w:rPr>
        <w:t xml:space="preserve">Source code anchor: </w:t>
      </w:r>
      <w:r>
        <w:t xml:space="preserve">OP model/nec/nec_hybrid_explained.py</w:t>
      </w:r>
    </w:p>
    <w:p>
      <w:pPr>
        <w:pStyle w:val="Heading3"/>
        <w:spacing w:after="100" w:before="200"/>
      </w:pPr>
      <w:r>
        <w:t xml:space="preserve">Thesis question</w:t>
      </w:r>
    </w:p>
    <w:p>
      <w:pPr>
        <w:spacing w:after="120" w:line="300"/>
        <w:jc w:val="both"/>
      </w:pPr>
      <w:r>
        <w:t xml:space="preserve">The NEC architecture is a clumsy hand-rolled mixture-of-experts: an LSTM-based three-class classifier routes a sample to either an “extreme” regression head or a “normal” regression head. The explainer file flags an explicit defect — the routing collapses two of the three softmax classes into the same branch, so the gating signal is being thrown away. The thesis reformulates this as a proper gated mixture-of-experts and benchmarks several gating mechanisms.</w:t>
      </w:r>
    </w:p>
    <w:p>
      <w:pPr>
        <w:spacing w:after="120" w:line="300"/>
        <w:jc w:val="both"/>
      </w:pPr>
      <w:r>
        <w:t xml:space="preserve">Concretely, you would compare hard routing (argmax), soft routing (weighted average over experts), learned gating with a load-balancing penalty, and an HMM- or change-point-driven gate where the regime variable is inferred from observed return statistics rather than learned end-to-end. The empirical contribution is an answer to “under what conditions does regime-conditional prediction beat a single global model on financial returns, and which gating mechanism wins?”</w:t>
      </w:r>
    </w:p>
    <w:p>
      <w:pPr>
        <w:pStyle w:val="Heading3"/>
        <w:spacing w:after="100" w:before="200"/>
      </w:pPr>
      <w:r>
        <w:t xml:space="preserve">Mathematical content</w:t>
      </w:r>
    </w:p>
    <w:p>
      <w:pPr>
        <w:spacing w:after="120" w:line="300"/>
        <w:jc w:val="both"/>
      </w:pPr>
      <w:r>
        <w:t xml:space="preserve">The mathematical scaffolding is a probabilistic mixture decomposition: p(y | x) = Σₖ p(z = k | x) · p(y | x, z = k), where z indexes the expert. Once stated, the rest is implementation: a gating network outputs softmax weights, the experts are regression heads, and the loss is the negative log-likelihood under this mixture (or its Gaussian-likelihood specialization, which collapses to a weighted MSE).</w:t>
      </w:r>
    </w:p>
    <w:p>
      <w:pPr>
        <w:spacing w:after="120" w:line="300"/>
        <w:jc w:val="both"/>
      </w:pPr>
      <w:r>
        <w:t xml:space="preserve">The deeper math you can include: a load-balancing loss expressed as the variance of expert utilization (Shazeer 2017, half a page of derivation); a bias-variance decomposition for ensembles with non-independent learners; if you use HMM gating, the forward-backward algorithm and Baum-Welch updates for the transition matrix. None of this requires measure theory or stochastic calculus.</w:t>
      </w:r>
    </w:p>
    <w:p>
      <w:pPr>
        <w:pStyle w:val="Heading3"/>
        <w:spacing w:after="100" w:before="200"/>
      </w:pPr>
      <w:r>
        <w:t xml:space="preserve">Why this fits</w:t>
      </w:r>
    </w:p>
    <w:p>
      <w:pPr>
        <w:spacing w:after="120" w:line="300"/>
        <w:jc w:val="both"/>
      </w:pPr>
      <w:r>
        <w:t xml:space="preserve">This is your current favorite. It is a clean blend of ML methodology (MoE is an active research area thanks to Switch Transformer, Mixtral, and DeepSeek-MoE) and a finance topic that has been studied for forty years (Hamilton’s regime-switching models). Bridging the two with a corrected NEC as the experimental harness is a thesis-shaped contribution rather than a re-implementation.</w:t>
      </w:r>
    </w:p>
    <w:p>
      <w:pPr>
        <w:pStyle w:val="Heading3"/>
        <w:spacing w:after="100" w:before="200"/>
      </w:pPr>
      <w:r>
        <w:t xml:space="preserve">Reference anchors</w:t>
      </w:r>
    </w:p>
    <w:p>
      <w:pPr>
        <w:pStyle w:val="ListParagraph"/>
        <w:numPr>
          <w:ilvl w:val="0"/>
          <w:numId w:val="2"/>
        </w:numPr>
        <w:spacing w:after="80" w:line="300"/>
      </w:pPr>
      <w:r>
        <w:t xml:space="preserve">Shazeer et al., “Outrageously Large Neural Networks: The Sparsely-Gated Mixture-of-Experts Layer,” 2017.</w:t>
      </w:r>
    </w:p>
    <w:p>
      <w:pPr>
        <w:pStyle w:val="ListParagraph"/>
        <w:numPr>
          <w:ilvl w:val="0"/>
          <w:numId w:val="2"/>
        </w:numPr>
        <w:spacing w:after="80" w:line="300"/>
      </w:pPr>
      <w:r>
        <w:t xml:space="preserve">Fedus, Zoph, Shazeer, “Switch Transformer,” 2021.</w:t>
      </w:r>
    </w:p>
    <w:p>
      <w:pPr>
        <w:pStyle w:val="ListParagraph"/>
        <w:numPr>
          <w:ilvl w:val="0"/>
          <w:numId w:val="2"/>
        </w:numPr>
        <w:spacing w:after="80" w:line="300"/>
      </w:pPr>
      <w:r>
        <w:t xml:space="preserve">Hamilton, “A New Approach to the Economic Analysis of Nonstationary Time Series and the Business Cycle,” Econometrica 1989.</w:t>
      </w:r>
    </w:p>
    <w:p>
      <w:pPr>
        <w:pStyle w:val="ListParagraph"/>
        <w:numPr>
          <w:ilvl w:val="0"/>
          <w:numId w:val="2"/>
        </w:numPr>
        <w:spacing w:after="80" w:line="300"/>
      </w:pPr>
      <w:r>
        <w:t xml:space="preserve">Ang &amp; Bekaert, “Regime Switches in Interest Rates,” JBES 2002.</w:t>
      </w:r>
    </w:p>
    <w:p>
      <w:pPr>
        <w:pBdr>
          <w:bottom w:val="single" w:color="AAAAAA" w:sz="6" w:space="1"/>
        </w:pBdr>
        <w:spacing w:after="200" w:before="200"/>
      </w:pPr>
      <w:r>
        <w:t xml:space="preserve"/>
      </w:r>
    </w:p>
    <w:p>
      <w:pPr>
        <w:pStyle w:val="Heading2"/>
        <w:spacing w:after="160" w:before="280"/>
      </w:pPr>
      <w:r>
        <w:t xml:space="preserve">Idea 2 — Inductive biases in attention for low-SNR financial time series</w:t>
      </w:r>
    </w:p>
    <w:p>
      <w:pPr>
        <w:spacing w:after="100" w:line="300"/>
        <w:jc w:val="both"/>
      </w:pPr>
      <w:r>
        <w:rPr>
          <w:b/>
          <w:bCs/>
        </w:rPr>
        <w:t xml:space="preserve">Source code anchor: </w:t>
      </w:r>
      <w:r>
        <w:t xml:space="preserve">OP model/autoformer/, OP model/informer/, OP model/lgbm/ (baseline)</w:t>
      </w:r>
    </w:p>
    <w:p>
      <w:pPr>
        <w:pStyle w:val="Heading3"/>
        <w:spacing w:after="100" w:before="200"/>
      </w:pPr>
      <w:r>
        <w:t xml:space="preserve">Thesis question</w:t>
      </w:r>
    </w:p>
    <w:p>
      <w:pPr>
        <w:spacing w:after="120" w:line="300"/>
        <w:jc w:val="both"/>
      </w:pPr>
      <w:r>
        <w:t xml:space="preserve">Autoformer’s FFT-based auto-correlation attention and Informer’s ProbSparse attention are both motivated by inductive biases: periodicity for Autoformer, query sparsity for Informer. The original papers benchmark on smooth, high-SNR series (ETT, electricity, weather). Financial cross-sectional return data is the opposite — low SNR, weakly autocorrelated, heavy-tailed. The thesis question is whether these inductive biases survive that regime, and what the failure modes are when they don’t.</w:t>
      </w:r>
    </w:p>
    <w:p>
      <w:pPr>
        <w:spacing w:after="120" w:line="300"/>
        <w:jc w:val="both"/>
      </w:pPr>
      <w:r>
        <w:t xml:space="preserve">The empirical work is a controlled head-to-head benchmark of Autoformer vs. Informer vs. a vanilla Transformer vs. LightGBM on cross-sectional return prediction, with attention-pattern analysis (which lags Autoformer picks up; which keys Informer’s ProbSparse selects) supporting the discussion. A negative result — “the inductive biases do not transfer” — is publishable and aligns with López de Prado’s critique of ML in finance.</w:t>
      </w:r>
    </w:p>
    <w:p>
      <w:pPr>
        <w:pStyle w:val="Heading3"/>
        <w:spacing w:after="100" w:before="200"/>
      </w:pPr>
      <w:r>
        <w:t xml:space="preserve">Mathematical content</w:t>
      </w:r>
    </w:p>
    <w:p>
      <w:pPr>
        <w:spacing w:after="120" w:line="300"/>
        <w:jc w:val="both"/>
      </w:pPr>
      <w:r>
        <w:t xml:space="preserve">Mathematically, you would explain auto-correlation attention via the Wiener–Khinchin theorem (autocorrelation of a stationary process equals the inverse Fourier transform of its power spectral density), then walk through the discrete FFT formulation Autoformer actually uses. For Informer you derive the ProbSparse score as a KL-style measure of how non-uniform a query’s attention distribution is over keys, motivating sub-quadratic attention by selecting the top-u most informative queries.</w:t>
      </w:r>
    </w:p>
    <w:p>
      <w:pPr>
        <w:spacing w:after="120" w:line="300"/>
        <w:jc w:val="both"/>
      </w:pPr>
      <w:r>
        <w:t xml:space="preserve">Standard transformer math (scaled dot-product attention, multi-head linear projections) sits underneath both. The novel mathematical content is comparatively modest — you are explaining other people’s priors carefully, not deriving new ones — but the FFT and information-theoretic content together make this a genuinely math-aware thesis.</w:t>
      </w:r>
    </w:p>
    <w:p>
      <w:pPr>
        <w:pStyle w:val="Heading3"/>
        <w:spacing w:after="100" w:before="200"/>
      </w:pPr>
      <w:r>
        <w:t xml:space="preserve">Why this fits</w:t>
      </w:r>
    </w:p>
    <w:p>
      <w:pPr>
        <w:spacing w:after="120" w:line="300"/>
        <w:jc w:val="both"/>
      </w:pPr>
      <w:r>
        <w:t xml:space="preserve">This is your acceptable backup. It is more empirical than Idea 1 but harder to fail at: even a clean replication of the published benchmarks, transferred to financial data, is a defensible contribution. Strong fit for a fintech program where the committee values empirical rigor.</w:t>
      </w:r>
    </w:p>
    <w:p>
      <w:pPr>
        <w:pStyle w:val="Heading3"/>
        <w:spacing w:after="100" w:before="200"/>
      </w:pPr>
      <w:r>
        <w:t xml:space="preserve">Reference anchors</w:t>
      </w:r>
    </w:p>
    <w:p>
      <w:pPr>
        <w:pStyle w:val="ListParagraph"/>
        <w:numPr>
          <w:ilvl w:val="0"/>
          <w:numId w:val="2"/>
        </w:numPr>
        <w:spacing w:after="80" w:line="300"/>
      </w:pPr>
      <w:r>
        <w:t xml:space="preserve">Wu et al., “Autoformer: Decomposition Transformers with Auto-Correlation for Long-Term Series Forecasting,” NeurIPS 2021.</w:t>
      </w:r>
    </w:p>
    <w:p>
      <w:pPr>
        <w:pStyle w:val="ListParagraph"/>
        <w:numPr>
          <w:ilvl w:val="0"/>
          <w:numId w:val="2"/>
        </w:numPr>
        <w:spacing w:after="80" w:line="300"/>
      </w:pPr>
      <w:r>
        <w:t xml:space="preserve">Zhou et al., “Informer: Beyond Efficient Transformer for Long Sequence Time-Series Forecasting,” AAAI 2021.</w:t>
      </w:r>
    </w:p>
    <w:p>
      <w:pPr>
        <w:pStyle w:val="ListParagraph"/>
        <w:numPr>
          <w:ilvl w:val="0"/>
          <w:numId w:val="2"/>
        </w:numPr>
        <w:spacing w:after="80" w:line="300"/>
      </w:pPr>
      <w:r>
        <w:t xml:space="preserve">López de Prado, “The 10 Reasons Most Machine Learning Funds Fail,” JPM 2018.</w:t>
      </w:r>
    </w:p>
    <w:p>
      <w:pPr>
        <w:pBdr>
          <w:bottom w:val="single" w:color="AAAAAA" w:sz="6" w:space="1"/>
        </w:pBdr>
        <w:spacing w:after="200" w:before="200"/>
      </w:pPr>
      <w:r>
        <w:t xml:space="preserve"/>
      </w:r>
    </w:p>
    <w:p>
      <w:pPr>
        <w:pStyle w:val="Heading2"/>
        <w:spacing w:after="160" w:before="280"/>
      </w:pPr>
      <w:r>
        <w:t xml:space="preserve">Idea 3 — Random matrix theory and spectral preprocessing for the OP-model architectures</w:t>
      </w:r>
    </w:p>
    <w:p>
      <w:pPr>
        <w:spacing w:after="100" w:line="300"/>
        <w:jc w:val="both"/>
      </w:pPr>
      <w:r>
        <w:rPr>
          <w:b/>
          <w:bCs/>
        </w:rPr>
        <w:t xml:space="preserve">Source code anchor: </w:t>
      </w:r>
      <w:r>
        <w:t xml:space="preserve">OP model/autoformer/, OP model/informer/, OP model/lgbm/</w:t>
      </w:r>
    </w:p>
    <w:p>
      <w:pPr>
        <w:pStyle w:val="Heading3"/>
        <w:spacing w:after="100" w:before="200"/>
      </w:pPr>
      <w:r>
        <w:t xml:space="preserve">Thesis question</w:t>
      </w:r>
    </w:p>
    <w:p>
      <w:pPr>
        <w:spacing w:after="120" w:line="300"/>
        <w:jc w:val="both"/>
      </w:pPr>
      <w:r>
        <w:t xml:space="preserve">Empirical financial covariance matrices are notoriously dominated by noise: when you have N assets and T observations and N/T is non-negligible, the sample eigenspectrum is heavily distorted relative to the true spectrum. The Bouchaud–Potters school has shown for decades that spectral cleaning — specifically eigenvalue clipping or shrinkage motivated by Marčenko–Pastur — measurably improves out-of-sample portfolio performance.</w:t>
      </w:r>
    </w:p>
    <w:p>
      <w:pPr>
        <w:spacing w:after="120" w:line="300"/>
        <w:jc w:val="both"/>
      </w:pPr>
      <w:r>
        <w:t xml:space="preserve">None of the OP-model architectures know about this. The thesis prepends a learned or theory-driven spectral denoiser to the feature/covariance pipeline and benchmarks against raw inputs, PCA, and standard z-score normalization, across Autoformer, Informer, and the LightGBM pipeline.</w:t>
      </w:r>
    </w:p>
    <w:p>
      <w:pPr>
        <w:pStyle w:val="Heading3"/>
        <w:spacing w:after="100" w:before="200"/>
      </w:pPr>
      <w:r>
        <w:t xml:space="preserve">Mathematical content</w:t>
      </w:r>
    </w:p>
    <w:p>
      <w:pPr>
        <w:spacing w:after="120" w:line="300"/>
        <w:jc w:val="both"/>
      </w:pPr>
      <w:r>
        <w:t xml:space="preserve">The mathematical heart of the thesis is the Marčenko–Pastur distribution as the asymptotic eigenvalue density of a Wishart-distributed sample covariance matrix when N, T → ∞ with N/T → q ∈ (0, 1]. You derive it via the Stieltjes transform g(z) = E[(X − z)⁻¹] of the eigenvalue measure, solve the self-consistent equation that g satisfies, and read off the support [λ₋, λ₊] = (1 ∓ √q)² of the bulk. Eigenvalue clipping is then justified as cutting the bulk — which is pure noise under MP — and keeping the outliers, which represent genuine factor structure.</w:t>
      </w:r>
    </w:p>
    <w:p>
      <w:pPr>
        <w:spacing w:after="120" w:line="300"/>
        <w:jc w:val="both"/>
      </w:pPr>
      <w:r>
        <w:t xml:space="preserve">If you want to go further, free probability gives you the same machinery for sums and products of random matrices and is the right tool for cleaning correlated noise. The Sturm–Liouville and operator-spectral language you already have from physics translates directly to this setting.</w:t>
      </w:r>
    </w:p>
    <w:p>
      <w:pPr>
        <w:pStyle w:val="Heading3"/>
        <w:spacing w:after="100" w:before="200"/>
      </w:pPr>
      <w:r>
        <w:t xml:space="preserve">Why this fits</w:t>
      </w:r>
    </w:p>
    <w:p>
      <w:pPr>
        <w:spacing w:after="120" w:line="300"/>
        <w:jc w:val="both"/>
      </w:pPr>
      <w:r>
        <w:t xml:space="preserve">This is the canonical physics-into-quant thesis line. Marko Bouchaud’s group at Capital Fund Management, and the broader econophysics tradition, have built careers on exactly this kind of work. Spectral methods are widely deployed in real quant pipelines for risk-model construction, factor estimation, and PCA-style hedging — so the methods you learn here are directly portable to industry.</w:t>
      </w:r>
    </w:p>
    <w:p>
      <w:pPr>
        <w:pStyle w:val="Heading3"/>
        <w:spacing w:after="100" w:before="200"/>
      </w:pPr>
      <w:r>
        <w:t xml:space="preserve">Reference anchors</w:t>
      </w:r>
    </w:p>
    <w:p>
      <w:pPr>
        <w:pStyle w:val="ListParagraph"/>
        <w:numPr>
          <w:ilvl w:val="0"/>
          <w:numId w:val="2"/>
        </w:numPr>
        <w:spacing w:after="80" w:line="300"/>
      </w:pPr>
      <w:r>
        <w:t xml:space="preserve">Marčenko &amp; Pastur, “Distribution of eigenvalues for some sets of random matrices,” 1967.</w:t>
      </w:r>
    </w:p>
    <w:p>
      <w:pPr>
        <w:pStyle w:val="ListParagraph"/>
        <w:numPr>
          <w:ilvl w:val="0"/>
          <w:numId w:val="2"/>
        </w:numPr>
        <w:spacing w:after="80" w:line="300"/>
      </w:pPr>
      <w:r>
        <w:t xml:space="preserve">Laloux, Cizeau, Bouchaud &amp; Potters, “Noise dressing of financial correlation matrices,” PRL 1999.</w:t>
      </w:r>
    </w:p>
    <w:p>
      <w:pPr>
        <w:pStyle w:val="ListParagraph"/>
        <w:numPr>
          <w:ilvl w:val="0"/>
          <w:numId w:val="2"/>
        </w:numPr>
        <w:spacing w:after="80" w:line="300"/>
      </w:pPr>
      <w:r>
        <w:t xml:space="preserve">Bouchaud &amp; Potters, “Financial Applications of Random Matrix Theory: a short review,” 2009.</w:t>
      </w:r>
    </w:p>
    <w:p>
      <w:pPr>
        <w:pStyle w:val="ListParagraph"/>
        <w:numPr>
          <w:ilvl w:val="0"/>
          <w:numId w:val="2"/>
        </w:numPr>
        <w:spacing w:after="80" w:line="300"/>
      </w:pPr>
      <w:r>
        <w:t xml:space="preserve">Ledoit &amp; Wolf, “Honey, I shrunk the sample covariance matrix,” JPM 2004.</w:t>
      </w:r>
    </w:p>
    <w:p>
      <w:pPr>
        <w:pBdr>
          <w:bottom w:val="single" w:color="AAAAAA" w:sz="6" w:space="1"/>
        </w:pBdr>
        <w:spacing w:after="200" w:before="200"/>
      </w:pPr>
      <w:r>
        <w:t xml:space="preserve"/>
      </w:r>
    </w:p>
    <w:p>
      <w:pPr>
        <w:pStyle w:val="Heading2"/>
        <w:spacing w:after="160" w:before="280"/>
      </w:pPr>
      <w:r>
        <w:t xml:space="preserve">Idea 4 — PAC-Bayes generalization bounds for financial ML</w:t>
      </w:r>
    </w:p>
    <w:p>
      <w:pPr>
        <w:spacing w:after="100" w:line="300"/>
        <w:jc w:val="both"/>
      </w:pPr>
      <w:r>
        <w:rPr>
          <w:b/>
          <w:bCs/>
        </w:rPr>
        <w:t xml:space="preserve">Source code anchor: </w:t>
      </w:r>
      <w:r>
        <w:t xml:space="preserve">OP model/lgbm/lgbm_quant_pipeline_explained.py (case study)</w:t>
      </w:r>
    </w:p>
    <w:p>
      <w:pPr>
        <w:pStyle w:val="Heading3"/>
        <w:spacing w:after="100" w:before="200"/>
      </w:pPr>
      <w:r>
        <w:t xml:space="preserve">Thesis question</w:t>
      </w:r>
    </w:p>
    <w:p>
      <w:pPr>
        <w:spacing w:after="120" w:line="300"/>
        <w:jc w:val="both"/>
      </w:pPr>
      <w:r>
        <w:t xml:space="preserve">Standard generalization bounds assume i.i.d. data. Financial returns are anything but: they exhibit short-range serial dependence, regime changes, and slow stationarity violations. A theory-leaning thesis adapts modern PAC-Bayes bounds to weakly-dependent return series, instantiates the bounds numerically on a realistic LightGBM-on-factors setup, studies how tight they are, and tests whether minimizing the PAC-Bayes objective directly improves out-of-sample performance.</w:t>
      </w:r>
    </w:p>
    <w:p>
      <w:pPr>
        <w:spacing w:after="120" w:line="300"/>
        <w:jc w:val="both"/>
      </w:pPr>
      <w:r>
        <w:t xml:space="preserve">The contribution is methodological rather than empirical: you produce a generalization bound for a real trading pipeline and report whether the bound is informative or vacuous in practice. Both outcomes are publishable.</w:t>
      </w:r>
    </w:p>
    <w:p>
      <w:pPr>
        <w:pStyle w:val="Heading3"/>
        <w:spacing w:after="100" w:before="200"/>
      </w:pPr>
      <w:r>
        <w:t xml:space="preserve">Mathematical content</w:t>
      </w:r>
    </w:p>
    <w:p>
      <w:pPr>
        <w:spacing w:after="120" w:line="300"/>
        <w:jc w:val="both"/>
      </w:pPr>
      <w:r>
        <w:t xml:space="preserve">Mathematical content: PAC-Bayes in its Catoni / Dziugaite–Roy form, where the bound takes the shape R(Q) ≤ R̂(Q) + √((KL(Q || P) + log(1/δ)) / 2n) for a posterior Q and prior P over hypotheses; mirror descent for optimizing such bounds; concentration inequalities for β-mixing sequences (Mohri &amp; Rostamizadeh) that replace the i.i.d. Hoeffding step; Rademacher complexity for time-series via blocking.</w:t>
      </w:r>
    </w:p>
    <w:p>
      <w:pPr>
        <w:spacing w:after="120" w:line="300"/>
        <w:jc w:val="both"/>
      </w:pPr>
      <w:r>
        <w:t xml:space="preserve">This is the most theoretically demanding option on the list. It does not require stochastic calculus, but it does require comfort with measure-theoretic probability at the level of expectations, KL divergences, and concentration tails. Your QM background helps because the variational structure of PAC-Bayes — minimize an empirical risk plus a KL-divergence regularizer — is mathematically the same shape as variational free-energy minimization.</w:t>
      </w:r>
    </w:p>
    <w:p>
      <w:pPr>
        <w:pStyle w:val="Heading3"/>
        <w:spacing w:after="100" w:before="200"/>
      </w:pPr>
      <w:r>
        <w:t xml:space="preserve">Why this fits</w:t>
      </w:r>
    </w:p>
    <w:p>
      <w:pPr>
        <w:spacing w:after="120" w:line="300"/>
        <w:jc w:val="both"/>
      </w:pPr>
      <w:r>
        <w:t xml:space="preserve">Highest signal for buyside-research interviews. Quant research roles at firms like AQR, Two Sigma, and Citadel Global Quantitative Strategies actively recruit candidates who can do real generalization theory rather than just train models. A thesis here demonstrates that capability cleanly. The risk is that your supervisor needs to be comfortable with theory-leaning work; if your program is purely applied, this becomes harder to defend.</w:t>
      </w:r>
    </w:p>
    <w:p>
      <w:pPr>
        <w:pStyle w:val="Heading3"/>
        <w:spacing w:after="100" w:before="200"/>
      </w:pPr>
      <w:r>
        <w:t xml:space="preserve">Reference anchors</w:t>
      </w:r>
    </w:p>
    <w:p>
      <w:pPr>
        <w:pStyle w:val="ListParagraph"/>
        <w:numPr>
          <w:ilvl w:val="0"/>
          <w:numId w:val="2"/>
        </w:numPr>
        <w:spacing w:after="80" w:line="300"/>
      </w:pPr>
      <w:r>
        <w:t xml:space="preserve">McAllester, “Some PAC-Bayesian Theorems,” COLT 1998.</w:t>
      </w:r>
    </w:p>
    <w:p>
      <w:pPr>
        <w:pStyle w:val="ListParagraph"/>
        <w:numPr>
          <w:ilvl w:val="0"/>
          <w:numId w:val="2"/>
        </w:numPr>
        <w:spacing w:after="80" w:line="300"/>
      </w:pPr>
      <w:r>
        <w:t xml:space="preserve">Catoni, “PAC-Bayesian Supervised Classification,” Lecture Notes Monograph Series 56, IMS 2007.</w:t>
      </w:r>
    </w:p>
    <w:p>
      <w:pPr>
        <w:pStyle w:val="ListParagraph"/>
        <w:numPr>
          <w:ilvl w:val="0"/>
          <w:numId w:val="2"/>
        </w:numPr>
        <w:spacing w:after="80" w:line="300"/>
      </w:pPr>
      <w:r>
        <w:t xml:space="preserve">Dziugaite &amp; Roy, “Computing Nonvacuous Generalization Bounds for Deep (Stochastic) Neural Networks,” UAI 2017.</w:t>
      </w:r>
    </w:p>
    <w:p>
      <w:pPr>
        <w:pStyle w:val="ListParagraph"/>
        <w:numPr>
          <w:ilvl w:val="0"/>
          <w:numId w:val="2"/>
        </w:numPr>
        <w:spacing w:after="80" w:line="300"/>
      </w:pPr>
      <w:r>
        <w:t xml:space="preserve">Mohri &amp; Rostamizadeh, “Rademacher Complexity Bounds for Non-i.i.d. Processes,” NeurIPS 2008.</w:t>
      </w:r>
    </w:p>
    <w:p>
      <w:pPr>
        <w:pBdr>
          <w:bottom w:val="single" w:color="AAAAAA" w:sz="6" w:space="1"/>
        </w:pBdr>
        <w:spacing w:after="200" w:before="200"/>
      </w:pPr>
      <w:r>
        <w:t xml:space="preserve"/>
      </w:r>
    </w:p>
    <w:p>
      <w:pPr>
        <w:pStyle w:val="Heading2"/>
        <w:spacing w:after="160" w:before="280"/>
      </w:pPr>
      <w:r>
        <w:t xml:space="preserve">Idea 5 — Optimal-transport-regularized gating for the regime-conditional MoE (extension of Idea 1)</w:t>
      </w:r>
    </w:p>
    <w:p>
      <w:pPr>
        <w:spacing w:after="100" w:line="300"/>
        <w:jc w:val="both"/>
      </w:pPr>
      <w:r>
        <w:rPr>
          <w:b/>
          <w:bCs/>
        </w:rPr>
        <w:t xml:space="preserve">Source code anchor: </w:t>
      </w:r>
      <w:r>
        <w:t xml:space="preserve">OP model/nec/nec_hybrid_explained.py</w:t>
      </w:r>
    </w:p>
    <w:p>
      <w:pPr>
        <w:pStyle w:val="Heading3"/>
        <w:spacing w:after="100" w:before="200"/>
      </w:pPr>
      <w:r>
        <w:t xml:space="preserve">Thesis question</w:t>
      </w:r>
    </w:p>
    <w:p>
      <w:pPr>
        <w:spacing w:after="120" w:line="300"/>
        <w:jc w:val="both"/>
      </w:pPr>
      <w:r>
        <w:t xml:space="preserve">Idea 1 leaves an open design choice: how do you regularize the gating distribution so that the experts actually specialize? Standard load-balancing penalties enforce uniform expert utilization, which is a coarse hammer. A more principled fix uses optimal transport: regularize the gating distribution with a Sinkhorn divergence to a target distribution (e.g., the empirical regime distribution), and use Wasserstein distance between feature distributions over time as the regime-detection signal feeding the gate.</w:t>
      </w:r>
    </w:p>
    <w:p>
      <w:pPr>
        <w:spacing w:after="120" w:line="300"/>
        <w:jc w:val="both"/>
      </w:pPr>
      <w:r>
        <w:t xml:space="preserve">This can stand alone as a thesis on “Wasserstein-regularized mixture-of-experts for non-stationary time series”, or be folded into Idea 1 as one of the gating variants compared.</w:t>
      </w:r>
    </w:p>
    <w:p>
      <w:pPr>
        <w:pStyle w:val="Heading3"/>
        <w:spacing w:after="100" w:before="200"/>
      </w:pPr>
      <w:r>
        <w:t xml:space="preserve">Mathematical content</w:t>
      </w:r>
    </w:p>
    <w:p>
      <w:pPr>
        <w:spacing w:after="120" w:line="300"/>
        <w:jc w:val="both"/>
      </w:pPr>
      <w:r>
        <w:t xml:space="preserve">Mathematical content: the Kantorovich formulation of optimal transport — Wₚ(μ, ν) = (infₜ ∫ ∥x − y∥ᵖ dγ(x,y))^(1/p), where γ is a coupling — and its dual; entropic regularization (Cuturi 2013), which makes OT differentiable and computable in O(n²) time via the Sinkhorn iteration; sliced Wasserstein for high-dimensional features; the Wasserstein gradient flow interpretation if you want a chapter on theory.</w:t>
      </w:r>
    </w:p>
    <w:p>
      <w:pPr>
        <w:spacing w:after="120" w:line="300"/>
        <w:jc w:val="both"/>
      </w:pPr>
      <w:r>
        <w:t xml:space="preserve">Convexity and dual structure are the load-bearing tools. None of this needs stochastic calculus; the optimization is over the simplex, which is the same statistical-manifold setting you saw in QM via probability amplitudes.</w:t>
      </w:r>
    </w:p>
    <w:p>
      <w:pPr>
        <w:pStyle w:val="Heading3"/>
        <w:spacing w:after="100" w:before="200"/>
      </w:pPr>
      <w:r>
        <w:t xml:space="preserve">Why this fits</w:t>
      </w:r>
    </w:p>
    <w:p>
      <w:pPr>
        <w:spacing w:after="120" w:line="300"/>
        <w:jc w:val="both"/>
      </w:pPr>
      <w:r>
        <w:t xml:space="preserve">Optimal transport is one of the hottest mathematical tools in modern ML and is being adopted at quant firms for distributional robustness, domain adaptation between regimes, and Wasserstein DRO portfolio construction. Practical and not niche.</w:t>
      </w:r>
    </w:p>
    <w:p>
      <w:pPr>
        <w:pStyle w:val="Heading3"/>
        <w:spacing w:after="100" w:before="200"/>
      </w:pPr>
      <w:r>
        <w:t xml:space="preserve">Reference anchors</w:t>
      </w:r>
    </w:p>
    <w:p>
      <w:pPr>
        <w:pStyle w:val="ListParagraph"/>
        <w:numPr>
          <w:ilvl w:val="0"/>
          <w:numId w:val="2"/>
        </w:numPr>
        <w:spacing w:after="80" w:line="300"/>
      </w:pPr>
      <w:r>
        <w:t xml:space="preserve">Cuturi, “Sinkhorn Distances: Lightspeed Computation of Optimal Transport,” NeurIPS 2013.</w:t>
      </w:r>
    </w:p>
    <w:p>
      <w:pPr>
        <w:pStyle w:val="ListParagraph"/>
        <w:numPr>
          <w:ilvl w:val="0"/>
          <w:numId w:val="2"/>
        </w:numPr>
        <w:spacing w:after="80" w:line="300"/>
      </w:pPr>
      <w:r>
        <w:t xml:space="preserve">Feydy, Séjourné, Vialard, Amari, Trouvé &amp; Peyré, “Interpolating between Optimal Transport and MMD using Sinkhorn Divergences,” AISTATS 2019.</w:t>
      </w:r>
    </w:p>
    <w:p>
      <w:pPr>
        <w:pStyle w:val="ListParagraph"/>
        <w:numPr>
          <w:ilvl w:val="0"/>
          <w:numId w:val="2"/>
        </w:numPr>
        <w:spacing w:after="80" w:line="300"/>
      </w:pPr>
      <w:r>
        <w:t xml:space="preserve">Peyré &amp; Cuturi, Computational Optimal Transport, monograph 2019.</w:t>
      </w:r>
    </w:p>
    <w:p>
      <w:pPr>
        <w:pStyle w:val="ListParagraph"/>
        <w:numPr>
          <w:ilvl w:val="0"/>
          <w:numId w:val="2"/>
        </w:numPr>
        <w:spacing w:after="80" w:line="300"/>
      </w:pPr>
      <w:r>
        <w:t xml:space="preserve">Esfahani &amp; Kuhn, “Data-driven distributionally robust optimization using the Wasserstein metric,” Math. Prog. 2018.</w:t>
      </w:r>
    </w:p>
    <w:p>
      <w:pPr>
        <w:pBdr>
          <w:bottom w:val="single" w:color="AAAAAA" w:sz="6" w:space="1"/>
        </w:pBdr>
        <w:spacing w:after="200" w:before="200"/>
      </w:pPr>
      <w:r>
        <w:t xml:space="preserve"/>
      </w:r>
    </w:p>
    <w:p>
      <w:pPr>
        <w:pStyle w:val="Heading2"/>
        <w:spacing w:after="160" w:before="280"/>
      </w:pPr>
      <w:r>
        <w:t xml:space="preserve">Idea 6 — Bayesian / variational deep learning for return prediction with calibrated uncertainty</w:t>
      </w:r>
    </w:p>
    <w:p>
      <w:pPr>
        <w:spacing w:after="100" w:line="300"/>
        <w:jc w:val="both"/>
      </w:pPr>
      <w:r>
        <w:rPr>
          <w:b/>
          <w:bCs/>
        </w:rPr>
        <w:t xml:space="preserve">Source code anchor: </w:t>
      </w:r>
      <w:r>
        <w:t xml:space="preserve">OP model/mlp/, OP model/gru/, OP model/lgbm/</w:t>
      </w:r>
    </w:p>
    <w:p>
      <w:pPr>
        <w:pStyle w:val="Heading3"/>
        <w:spacing w:after="100" w:before="200"/>
      </w:pPr>
      <w:r>
        <w:t xml:space="preserve">Thesis question</w:t>
      </w:r>
    </w:p>
    <w:p>
      <w:pPr>
        <w:spacing w:after="120" w:line="300"/>
        <w:jc w:val="both"/>
      </w:pPr>
      <w:r>
        <w:t xml:space="preserve">Most quant ML produces a point estimate of next-period return. But position sizing under the Kelly criterion uses both the mean and the variance of the predictive distribution — the optimal fraction is f* = μ / σ² in the simplest case, and the full conditional density in the general case. Replacing point predictors with Bayesian variants therefore has a direct trading interpretation.</w:t>
      </w:r>
    </w:p>
    <w:p>
      <w:pPr>
        <w:spacing w:after="120" w:line="300"/>
        <w:jc w:val="both"/>
      </w:pPr>
      <w:r>
        <w:t xml:space="preserve">The thesis replaces the deterministic predictors in mlp / gru / lgbm with mean-field variational inference, MC-dropout, deep ensembles, and evidential deep learning; evaluates uncertainty calibration via reliability diagrams, Brier score, and expected calibration error; and runs a Kelly-sized backtest to measure improvement in risk-adjusted return after costs.</w:t>
      </w:r>
    </w:p>
    <w:p>
      <w:pPr>
        <w:pStyle w:val="Heading3"/>
        <w:spacing w:after="100" w:before="200"/>
      </w:pPr>
      <w:r>
        <w:t xml:space="preserve">Mathematical content</w:t>
      </w:r>
    </w:p>
    <w:p>
      <w:pPr>
        <w:spacing w:after="120" w:line="300"/>
        <w:jc w:val="both"/>
      </w:pPr>
      <w:r>
        <w:t xml:space="preserve">The mathematical centerpiece is the Evidence Lower Bound: log p(D) ≥ 𝔼_q [log p(D | θ)] − KL(q(θ) ∥ p(θ)). This is mathematically identical to a variational free-energy principle from QM, with q(θ) playing the role of a trial wavefunction over weights and p(θ) the prior. You derive it from Jensen’s inequality, motivate it as a tractable surrogate for the marginal likelihood, and note the duality between maximizing the ELBO and minimizing variational free energy.</w:t>
      </w:r>
    </w:p>
    <w:p>
      <w:pPr>
        <w:spacing w:after="120" w:line="300"/>
        <w:jc w:val="both"/>
      </w:pPr>
      <w:r>
        <w:t xml:space="preserve">Additional content: the reparameterization trick (which lets you backprop through the sampling step), KL divergence between Gaussian priors and posteriors in closed form, posterior calibration metrics, and a derivation of the Kelly criterion by maximizing expected log-wealth under a binomial / Gaussian return model. None of this needs stochastic calculus.</w:t>
      </w:r>
    </w:p>
    <w:p>
      <w:pPr>
        <w:pStyle w:val="Heading3"/>
        <w:spacing w:after="100" w:before="200"/>
      </w:pPr>
      <w:r>
        <w:t xml:space="preserve">Why this fits</w:t>
      </w:r>
    </w:p>
    <w:p>
      <w:pPr>
        <w:spacing w:after="120" w:line="300"/>
        <w:jc w:val="both"/>
      </w:pPr>
      <w:r>
        <w:t xml:space="preserve">This is the cleanest physics-to-ML bridge available to you, because the variational principle is something you have already used in QM, and ELBO is literally that variational principle dressed up in ML notation. It is also extremely practical: every systematic trading firm cares about uncertainty quantification because position sizing depends on it. Highly recommended if you want a thesis that lets you reuse physics intuition openly.</w:t>
      </w:r>
    </w:p>
    <w:p>
      <w:pPr>
        <w:pStyle w:val="Heading3"/>
        <w:spacing w:after="100" w:before="200"/>
      </w:pPr>
      <w:r>
        <w:t xml:space="preserve">Reference anchors</w:t>
      </w:r>
    </w:p>
    <w:p>
      <w:pPr>
        <w:pStyle w:val="ListParagraph"/>
        <w:numPr>
          <w:ilvl w:val="0"/>
          <w:numId w:val="2"/>
        </w:numPr>
        <w:spacing w:after="80" w:line="300"/>
      </w:pPr>
      <w:r>
        <w:t xml:space="preserve">Blei, Kucukelbir &amp; McAuliffe, “Variational Inference: A Review for Statisticians,” JASA 2017.</w:t>
      </w:r>
    </w:p>
    <w:p>
      <w:pPr>
        <w:pStyle w:val="ListParagraph"/>
        <w:numPr>
          <w:ilvl w:val="0"/>
          <w:numId w:val="2"/>
        </w:numPr>
        <w:spacing w:after="80" w:line="300"/>
      </w:pPr>
      <w:r>
        <w:t xml:space="preserve">Kingma &amp; Welling, “Auto-Encoding Variational Bayes,” ICLR 2014.</w:t>
      </w:r>
    </w:p>
    <w:p>
      <w:pPr>
        <w:pStyle w:val="ListParagraph"/>
        <w:numPr>
          <w:ilvl w:val="0"/>
          <w:numId w:val="2"/>
        </w:numPr>
        <w:spacing w:after="80" w:line="300"/>
      </w:pPr>
      <w:r>
        <w:t xml:space="preserve">Gal &amp; Ghahramani, “Dropout as a Bayesian Approximation,” ICML 2016.</w:t>
      </w:r>
    </w:p>
    <w:p>
      <w:pPr>
        <w:pStyle w:val="ListParagraph"/>
        <w:numPr>
          <w:ilvl w:val="0"/>
          <w:numId w:val="2"/>
        </w:numPr>
        <w:spacing w:after="80" w:line="300"/>
      </w:pPr>
      <w:r>
        <w:t xml:space="preserve">Lakshminarayanan, Pritzel &amp; Blundell, “Simple and Scalable Predictive Uncertainty Estimation using Deep Ensembles,” NeurIPS 2017.</w:t>
      </w:r>
    </w:p>
    <w:p>
      <w:pPr>
        <w:pStyle w:val="ListParagraph"/>
        <w:numPr>
          <w:ilvl w:val="0"/>
          <w:numId w:val="2"/>
        </w:numPr>
        <w:spacing w:after="80" w:line="300"/>
      </w:pPr>
      <w:r>
        <w:t xml:space="preserve">Kelly, “A New Interpretation of Information Rate,” Bell System Technical Journal 1956.</w:t>
      </w:r>
    </w:p>
    <w:p>
      <w:pPr>
        <w:pBdr>
          <w:bottom w:val="single" w:color="AAAAAA" w:sz="6" w:space="1"/>
        </w:pBdr>
        <w:spacing w:after="200" w:before="200"/>
      </w:pPr>
      <w:r>
        <w:t xml:space="preserve"/>
      </w:r>
    </w:p>
    <w:p>
      <w:pPr>
        <w:pStyle w:val="Heading2"/>
        <w:spacing w:after="160" w:before="280"/>
      </w:pPr>
      <w:r>
        <w:t xml:space="preserve">Idea 7 — Differentiable convex optimization for end-to-end portfolio construction</w:t>
      </w:r>
    </w:p>
    <w:p>
      <w:pPr>
        <w:spacing w:after="100" w:line="300"/>
        <w:jc w:val="both"/>
      </w:pPr>
      <w:r>
        <w:rPr>
          <w:b/>
          <w:bCs/>
        </w:rPr>
        <w:t xml:space="preserve">Source code anchor: </w:t>
      </w:r>
      <w:r>
        <w:t xml:space="preserve">OP model/lgbm/ (predictors) feeding a convex portfolio optimizer</w:t>
      </w:r>
    </w:p>
    <w:p>
      <w:pPr>
        <w:pStyle w:val="Heading3"/>
        <w:spacing w:after="100" w:before="200"/>
      </w:pPr>
      <w:r>
        <w:t xml:space="preserve">Thesis question</w:t>
      </w:r>
    </w:p>
    <w:p>
      <w:pPr>
        <w:spacing w:after="120" w:line="300"/>
        <w:jc w:val="both"/>
      </w:pPr>
      <w:r>
        <w:t xml:space="preserve">The standard pipeline trains a predictor with MSE on returns and then feeds the predictions into a Markowitz-style portfolio optimizer. This decoupling is well-known to be suboptimal because the prediction loss is not aligned with the trading objective. The fix is to differentiate through the convex optimizer so the predictor is trained to maximize Sharpe (or any concave utility) directly. The thesis benchmarks predict-then-optimize against end-to-end differentiable optimization, with realistic transaction costs and constraints.</w:t>
      </w:r>
    </w:p>
    <w:p>
      <w:pPr>
        <w:pStyle w:val="Heading3"/>
        <w:spacing w:after="100" w:before="200"/>
      </w:pPr>
      <w:r>
        <w:t xml:space="preserve">Mathematical content</w:t>
      </w:r>
    </w:p>
    <w:p>
      <w:pPr>
        <w:spacing w:after="120" w:line="300"/>
        <w:jc w:val="both"/>
      </w:pPr>
      <w:r>
        <w:t xml:space="preserve">The derivation is a clean reuse of physics machinery. Portfolio weights are the solution to a quadratic program w*(μ̂, Σ̂) = arg min_w (½ wᵀ Σ̂ w − λ μ̂ᵀ w) subject to constraints. Forming the Lagrangian and writing the KKT conditions — stationarity, primal feasibility, dual feasibility, complementary slackness — gives a parametric system whose Jacobian you can invert via the implicit function theorem to obtain ∂w*/∂μ̂ and ∂w*/∂Σ̂. Backpropagation through the optimizer is then mechanical.</w:t>
      </w:r>
    </w:p>
    <w:p>
      <w:pPr>
        <w:spacing w:after="120" w:line="300"/>
        <w:jc w:val="both"/>
      </w:pPr>
      <w:r>
        <w:t xml:space="preserve">Additional content: convex analysis (Fenchel duality, proximal operators), second-order cone programs for robust portfolio variants (Goldfarb–Iyengar), and — if you want a chapter on theory — connections to mirror descent and Bregman geometry. The implicit function theorem you have already used in physics for thermodynamic conjugate variables and for general constraint problems; here it shows up in the same role.</w:t>
      </w:r>
    </w:p>
    <w:p>
      <w:pPr>
        <w:pStyle w:val="Heading3"/>
        <w:spacing w:after="100" w:before="200"/>
      </w:pPr>
      <w:r>
        <w:t xml:space="preserve">Why this fits</w:t>
      </w:r>
    </w:p>
    <w:p>
      <w:pPr>
        <w:spacing w:after="120" w:line="300"/>
        <w:jc w:val="both"/>
      </w:pPr>
      <w:r>
        <w:t xml:space="preserve">Of all candidates, this is the one most directly applicable to a real quant role. Every systematic fund has a portfolio construction layer, and “end-to-end” optimization is currently a hot research area at firms like Two Sigma, AQR, and Hudson River Trading. A thesis here shows you can build the full pipeline from prediction to allocation, which is exactly the skill systematic shops hire for.</w:t>
      </w:r>
    </w:p>
    <w:p>
      <w:pPr>
        <w:pStyle w:val="Heading3"/>
        <w:spacing w:after="100" w:before="200"/>
      </w:pPr>
      <w:r>
        <w:t xml:space="preserve">Reference anchors</w:t>
      </w:r>
    </w:p>
    <w:p>
      <w:pPr>
        <w:pStyle w:val="ListParagraph"/>
        <w:numPr>
          <w:ilvl w:val="0"/>
          <w:numId w:val="2"/>
        </w:numPr>
        <w:spacing w:after="80" w:line="300"/>
      </w:pPr>
      <w:r>
        <w:t xml:space="preserve">Amos &amp; Kolter, “OptNet: Differentiable Optimization as a Layer in Neural Networks,” ICML 2017.</w:t>
      </w:r>
    </w:p>
    <w:p>
      <w:pPr>
        <w:pStyle w:val="ListParagraph"/>
        <w:numPr>
          <w:ilvl w:val="0"/>
          <w:numId w:val="2"/>
        </w:numPr>
        <w:spacing w:after="80" w:line="300"/>
      </w:pPr>
      <w:r>
        <w:t xml:space="preserve">Agrawal, Amos, Barratt, Boyd, Diamond &amp; Kolter, “Differentiable Convex Optimization Layers,” NeurIPS 2019.</w:t>
      </w:r>
    </w:p>
    <w:p>
      <w:pPr>
        <w:pStyle w:val="ListParagraph"/>
        <w:numPr>
          <w:ilvl w:val="0"/>
          <w:numId w:val="2"/>
        </w:numPr>
        <w:spacing w:after="80" w:line="300"/>
      </w:pPr>
      <w:r>
        <w:t xml:space="preserve">Bertsimas &amp; Kallus, “From Predictive to Prescriptive Analytics,” Mgmt. Sci. 2020.</w:t>
      </w:r>
    </w:p>
    <w:p>
      <w:pPr>
        <w:pStyle w:val="ListParagraph"/>
        <w:numPr>
          <w:ilvl w:val="0"/>
          <w:numId w:val="2"/>
        </w:numPr>
        <w:spacing w:after="80" w:line="300"/>
      </w:pPr>
      <w:r>
        <w:t xml:space="preserve">Goldfarb &amp; Iyengar, “Robust Portfolio Selection Problems,” Math. Op. Res. 2003.</w:t>
      </w:r>
    </w:p>
    <w:p>
      <w:pPr>
        <w:pStyle w:val="ListParagraph"/>
        <w:numPr>
          <w:ilvl w:val="0"/>
          <w:numId w:val="2"/>
        </w:numPr>
        <w:spacing w:after="80" w:line="300"/>
      </w:pPr>
      <w:r>
        <w:t xml:space="preserve">Boyd &amp; Vandenberghe, Convex Optimization, Cambridge 2004 (textbook reference).</w:t>
      </w:r>
    </w:p>
    <w:p>
      <w:pPr>
        <w:pBdr>
          <w:bottom w:val="single" w:color="AAAAAA" w:sz="6" w:space="1"/>
        </w:pBdr>
        <w:spacing w:after="200" w:before="200"/>
      </w:pPr>
      <w:r>
        <w:t xml:space="preserve"/>
      </w:r>
    </w:p>
    <w:p>
      <w:pPr>
        <w:pStyle w:val="Heading1"/>
        <w:spacing w:after="200" w:before="360"/>
      </w:pPr>
      <w:r>
        <w:t xml:space="preserve">Recommendation</w:t>
      </w:r>
    </w:p>
    <w:p>
      <w:pPr>
        <w:spacing w:after="120" w:line="300"/>
        <w:jc w:val="both"/>
      </w:pPr>
      <w:r>
        <w:t xml:space="preserve">There is no single right answer here, but the candidates separate cleanly along three axes: (a) physics-fit, meaning how directly your existing toolkit transfers; (b) quant-career value, meaning how portable the methods are to a buyside or sellside research role; and (c) thesis risk, meaning how likely it is you produce a defensible result in a master’s timeline.</w:t>
      </w:r>
    </w:p>
    <w:p>
      <w:pPr>
        <w:spacing w:after="120" w:line="300"/>
        <w:jc w:val="both"/>
      </w:pPr>
      <w:r>
        <w:t xml:space="preserve">On physics-fit, Idea 6 (Bayesian / variational) is the strongest because the ELBO is the variational principle from QM in different clothing, and Idea 3 (random matrix theory and spectral preprocessing) is a close second because eigenvalue analysis of empirical covariance matrices is essentially the linear-algebra-of-physics applied to financial data.</w:t>
      </w:r>
    </w:p>
    <w:p>
      <w:pPr>
        <w:spacing w:after="120" w:line="300"/>
        <w:jc w:val="both"/>
      </w:pPr>
      <w:r>
        <w:t xml:space="preserve">On quant-career value, Idea 7 (differentiable convex optimization for portfolio construction) is the most directly applicable to a real quant role, because every systematic firm has the prediction → allocation pipeline and end-to-end training of it is currently a live research direction. Idea 3 is the next most career-relevant because spectral cleaning is canonical in industry risk-model construction.</w:t>
      </w:r>
    </w:p>
    <w:p>
      <w:pPr>
        <w:spacing w:after="120" w:line="300"/>
        <w:jc w:val="both"/>
      </w:pPr>
      <w:r>
        <w:t xml:space="preserve">On thesis risk, Idea 1 (regime-conditional MoE) and Idea 2 (attention inductive biases) are the safest — the experimental harnesses are already in place, and even a clean negative result is publishable. Idea 4 (PAC-Bayes) is the highest-risk, highest-signal option: most theoretical of the seven, hardest to defend without a theory-friendly supervisor, but the thesis that most strongly demonstrates research depth.</w:t>
      </w:r>
    </w:p>
    <w:p>
      <w:pPr>
        <w:spacing w:after="120" w:line="300"/>
        <w:jc w:val="both"/>
      </w:pPr>
      <w:r>
        <w:t xml:space="preserve">Concrete recommendation, by use case. If you want maximum quant-career portability, pick Idea 7. If you want the cleanest physics-to-ML thesis story, pick Idea 6. If you want to build on your current favorite, pick Idea 1 — optionally upgraded with the OT-regularized gating from Idea 5 as one of the variants compared. Idea 3 is the strongest “physics-flavored quant” pick if you want eigenvalue analysis as the central mathematical instrument. Idea 2 is the safest backup. Idea 4 is the option for a theoretical signature in your CV, if your supervisor allows it.</w:t>
      </w:r>
    </w:p>
    <w:p>
      <w:pPr>
        <w:pBdr>
          <w:bottom w:val="single" w:color="AAAAAA" w:sz="6" w:space="1"/>
        </w:pBdr>
        <w:spacing w:after="200" w:before="200"/>
      </w:pPr>
      <w:r>
        <w:t xml:space="preserve"/>
      </w:r>
    </w:p>
    <w:p>
      <w:pPr>
        <w:pStyle w:val="Heading1"/>
        <w:spacing w:after="200" w:before="360"/>
      </w:pPr>
      <w:r>
        <w:t xml:space="preserve">Notes for the next conversation</w:t>
      </w:r>
    </w:p>
    <w:p>
      <w:pPr>
        <w:spacing w:after="120" w:line="300"/>
        <w:jc w:val="both"/>
      </w:pPr>
      <w:r>
        <w:t xml:space="preserve">When you decide on one (or two) candidates to pursue, the natural next step is to expand the chosen idea into a 1–2 page proposal sketch covering: research question, related work, methodology, datasets and evaluation protocol, and a 4–6 month timeline broken into milestones. That document is the artifact you would actually hand to a prospective supervisor.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Master’s Thesis Candidates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A4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17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Candidates</dc:title>
  <dc:creator>Tom Koresleźjak</dc:creator>
  <dc:description>ML thesis directions from the OP model code base</dc:description>
  <cp:lastModifiedBy>Un-named</cp:lastModifiedBy>
  <cp:revision>1</cp:revision>
  <dcterms:created xsi:type="dcterms:W3CDTF">2026-05-01T07:22:06.985Z</dcterms:created>
  <dcterms:modified xsi:type="dcterms:W3CDTF">2026-05-01T07:22:06.985Z</dcterms:modified>
</cp:coreProperties>
</file>

<file path=docProps/custom.xml><?xml version="1.0" encoding="utf-8"?>
<Properties xmlns="http://schemas.openxmlformats.org/officeDocument/2006/custom-properties" xmlns:vt="http://schemas.openxmlformats.org/officeDocument/2006/docPropsVTypes"/>
</file>