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8"/>
          <w:sz w:val="52"/>
        </w:rPr>
        <w:t>F5历史配置清理方案</w:t>
      </w:r>
    </w:p>
    <w:p>
      <w:pPr>
        <w:jc w:val="center"/>
      </w:pPr>
      <w:r>
        <w:rPr>
          <w:rFonts w:ascii="Noto Sans CJK SC" w:hAnsi="Noto Sans CJK SC" w:eastAsia="Noto Sans CJK SC"/>
          <w:color w:val="44546A"/>
          <w:sz w:val="26"/>
        </w:rPr>
        <w:t>内网服务区（10.199.245.11） / DMZ区（10.199.114.250）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2268"/>
            <w:shd w:fill="1F4E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fill="1F4E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文档版本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V1.0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编制日期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2026-07-30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计划起始日期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2026-07-30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允许变更窗口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每周三；月初、月末及中国法定节假日所在周不变更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配置来源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20"/>
              </w:rPr>
              <w:t>181952-10.199.245.11.log；182024-10.199.114.250.log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493"/>
        <w:gridCol w:w="2493"/>
        <w:gridCol w:w="2493"/>
        <w:gridCol w:w="2493"/>
      </w:tblGrid>
      <w:tr>
        <w:trPr>
          <w:trHeight w:hRule="atLeast"/>
          <w:tblHeader w:val="true"/>
        </w:trPr>
        <w:tc>
          <w:tcPr>
            <w:tcW w:type="dxa" w:w="113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535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1701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编制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2026-07-30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首次编制：形成两套F5配置清理计划、实施方案、验证及回退要求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网络运维</w:t>
            </w:r>
          </w:p>
        </w:tc>
      </w:tr>
    </w:tbl>
    <w:p>
      <w:pPr>
        <w:spacing w:after="0"/>
      </w:pPr>
    </w:p>
    <w:p>
      <w:pPr>
        <w:pStyle w:val="Heading1"/>
      </w:pPr>
      <w:r>
        <w:t>1. 变更概述</w:t>
      </w:r>
    </w:p>
    <w:p>
      <w:pPr>
        <w:pStyle w:val="Heading2"/>
      </w:pPr>
      <w:r>
        <w:t>1.1 变更目标</w:t>
      </w:r>
    </w:p>
    <w:p>
      <w:pPr>
        <w:pStyle w:val="正文首行"/>
      </w:pPr>
      <w:r>
        <w:rPr>
          <w:b/>
        </w:rPr>
        <w:t>本次变更针对两套F5 BIG-IP设备中的历史、废弃、无引用及重复配置开展分批清理。</w:t>
      </w:r>
      <w:r>
        <w:t xml:space="preserve"> 通过先核查、再观察、后删除的方式，减少无效Pool、Node、Monitor、Profile、iRule及历史证书，降低配置复杂度和后续运维误判风险。</w:t>
      </w:r>
    </w:p>
    <w:p>
      <w:pPr>
        <w:pStyle w:val="Heading2"/>
      </w:pPr>
      <w:r>
        <w:t>1.2 变更范围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493"/>
        <w:gridCol w:w="2493"/>
        <w:gridCol w:w="2493"/>
        <w:gridCol w:w="2493"/>
      </w:tblGrid>
      <w:tr>
        <w:trPr>
          <w:trHeight w:hRule="atLeast"/>
          <w:tblHeader w:val="true"/>
        </w:trPr>
        <w:tc>
          <w:tcPr>
            <w:tcW w:type="dxa" w:w="1701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268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管理地址/标识</w:t>
            </w:r>
          </w:p>
        </w:tc>
        <w:tc>
          <w:tcPr>
            <w:tcW w:type="dxa" w:w="2835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35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策略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内网服务区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10.199.245.11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内网业务负载均衡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先行实施，批次可略大于DMZ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DMZ区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10.199.114.250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外部及DMZ业务负载均衡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内网稳定后实施，批次更小、观察期更长</w:t>
            </w:r>
          </w:p>
        </w:tc>
      </w:tr>
    </w:tbl>
    <w:p>
      <w:pPr>
        <w:spacing w:after="0"/>
      </w:pPr>
    </w:p>
    <w:p>
      <w:pPr>
        <w:pStyle w:val="Heading2"/>
      </w:pPr>
      <w:r>
        <w:t>1.3 变更原则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所有配置修改在变更时的Active设备执行，完成后同步至对应HA设备组；禁止在主、备设备上分别修改。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静态分析结果仅用于生成候选清单，删除前必须结合近30天流量、日志、连接数、业务负责人确认及现场二次引用检查。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Virtual Server、对外Pool等业务对象先Disable观察不少于30天，再安排删除。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仍被SSL Profile引用的过期证书必须先替换、验证，再删除旧证书、旧私钥和旧Profile。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禁止使用通配符或未经逐项审核的批量删除脚本；所有命令使用完整对象名并双人复核。</w:t>
      </w:r>
    </w:p>
    <w:p>
      <w:pPr>
        <w:pStyle w:val="Heading1"/>
      </w:pPr>
      <w:r>
        <w:t>2. 变更时间与排期规则</w:t>
      </w:r>
    </w:p>
    <w:p>
      <w:pPr>
        <w:pStyle w:val="Heading2"/>
      </w:pPr>
      <w:r>
        <w:t>2.1 时间规则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正式配置变更仅安排在每周三。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自然周按周一至周日计算；包含每月1日或每月最后一天的自然周不安排变更。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包含中国法定节假日的自然周不安排变更。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准备、审批、业务确认、数据收集可以在非变更日进行，但不得修改生产配置。</w:t>
      </w:r>
    </w:p>
    <w:p>
      <w:pPr>
        <w:pStyle w:val="Heading2"/>
      </w:pPr>
      <w:r>
        <w:t>2.2 分批排期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493"/>
        <w:gridCol w:w="2493"/>
        <w:gridCol w:w="2493"/>
        <w:gridCol w:w="2493"/>
      </w:tblGrid>
      <w:tr>
        <w:trPr>
          <w:trHeight w:hRule="atLeast"/>
          <w:tblHeader w:val="true"/>
        </w:trPr>
        <w:tc>
          <w:tcPr>
            <w:tcW w:type="dxa" w:w="1871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247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5102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13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2026-07-30至08-04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两区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准备、备份、流量与业务归属确认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无配置变更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2026-08-05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内网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清理无引用iRule、Persistence、Monitor；核查证书风险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2026-08-12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内网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第一批无引用Pool及独占Node，每批不超过3个Pool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中低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2026-08-19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内网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退役业务确认；必要时仅Disable，不删除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2026-08-26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内网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无引用Profile、旧证书和旧私钥清理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2026-09-09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DMZ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第一批低风险辅助对象清理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2026-09-16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DMZ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第一批无引用Pool及独占Node，每批不超过2个Pool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2026-10-14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内网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删除观察满30天且无流量的退役对象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2026-10-21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DMZ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退役业务观察性Disable，暂不删除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中高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2026-11-04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两区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第二轮Profile、证书、Monitor、孤立Node清理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2026-11-11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两区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引用复查、HA同步检查、遗漏项处理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2026-11-25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DMZ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删除观察满30天且无流量的退役对象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中高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2026-12-09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两区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收尾、归档和验收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</w:tr>
    </w:tbl>
    <w:p>
      <w:pPr>
        <w:spacing w:after="0"/>
      </w:pPr>
    </w:p>
    <w:p>
      <w:pPr>
        <w:pStyle w:val="Heading2"/>
      </w:pPr>
      <w:r>
        <w:t>2.3 禁止变更周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81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周三日期</w:t>
            </w:r>
          </w:p>
        </w:tc>
        <w:tc>
          <w:tcPr>
            <w:tcW w:type="dxa" w:w="2835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自然周</w:t>
            </w:r>
          </w:p>
        </w:tc>
        <w:tc>
          <w:tcPr>
            <w:tcW w:type="dxa" w:w="4535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2026-09-02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2026-08-31至09-06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月末/月初交界周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2026-09-23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2026-09-21至09-27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中秋节所在周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2026-09-30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2026-09-28至10-04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月末/月初及国庆节所在周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2026-10-07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2026-10-05至10-11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国庆节所在周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2026-10-28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2026-10-26至11-01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月末/月初交界周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2026-12-02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2026-11-30至12-06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月末/月初交界周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2026-12-30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2026-12-28至2027-01-03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月末/月初交界周</w:t>
            </w:r>
          </w:p>
        </w:tc>
      </w:tr>
    </w:tbl>
    <w:p>
      <w:pPr>
        <w:spacing w:after="0"/>
      </w:pPr>
    </w:p>
    <w:p>
      <w:pPr>
        <w:pStyle w:val="Heading1"/>
      </w:pPr>
      <w:r>
        <w:t>3. 配置分析与清理范围</w:t>
      </w:r>
    </w:p>
    <w:p>
      <w:pPr>
        <w:pStyle w:val="Heading2"/>
      </w:pPr>
      <w:r>
        <w:t>3.1 内网服务区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98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对象类别</w:t>
            </w:r>
          </w:p>
        </w:tc>
        <w:tc>
          <w:tcPr>
            <w:tcW w:type="dxa" w:w="3969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配置规模/初筛情况</w:t>
            </w:r>
          </w:p>
        </w:tc>
        <w:tc>
          <w:tcPr>
            <w:tcW w:type="dxa" w:w="3402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处置原则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Virtual Server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约218个；已禁用3个；部分关联Pool全Down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业务对象先确认、Disable观察，再删除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Pool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约218个；初筛7个高可信度无引用Pool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每批不超过3个Pool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Node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约855个；存在大量疑似孤立Node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只删除未被任何保留Pool使用的Node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Monitor/Profile/iRule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存在多项无引用辅助对象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优先作为低风险批次清理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证书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存在已过期但仍被Profile引用的证书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先替换、验证，再清理</w:t>
            </w:r>
          </w:p>
        </w:tc>
      </w:tr>
    </w:tbl>
    <w:p>
      <w:pPr>
        <w:spacing w:after="0"/>
      </w:pPr>
    </w:p>
    <w:p>
      <w:pPr>
        <w:pStyle w:val="正文首行"/>
      </w:pPr>
      <w:r>
        <w:rPr>
          <w:b/>
        </w:rPr>
        <w:t>内网高可信度无引用Pool候选：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850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402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对象名称</w:t>
            </w:r>
          </w:p>
        </w:tc>
        <w:tc>
          <w:tcPr>
            <w:tcW w:type="dxa" w:w="5102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初步建议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ATD-SYSLOG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复核无引用后删除Pool及独占Node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TEST-OA-8080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复核无引用后删除Pool及独占Node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solarwinds-log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重点确认是否用于日志或HSL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syslog-pool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重点确认是否用于日志或HSL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wanda-clnew-http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复核业务迁移历史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wanda-cw-pt-80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现网Virtual使用wanda-cw-pt-80-new，旧Pool列入复核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wanda-qdk-http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复核业务归属后处理</w:t>
            </w:r>
          </w:p>
        </w:tc>
      </w:tr>
    </w:tbl>
    <w:p>
      <w:pPr>
        <w:spacing w:after="0"/>
      </w:pPr>
    </w:p>
    <w:p>
      <w:pPr>
        <w:pStyle w:val="正文首行"/>
      </w:pPr>
      <w:r>
        <w:t>内网已禁用Virtual Server：wanda-chengbengl-https、wanda-hrkhkj-8082、yunpan-storage-443。</w:t>
      </w:r>
    </w:p>
    <w:p>
      <w:pPr>
        <w:pStyle w:val="正文首行"/>
      </w:pPr>
      <w:r>
        <w:t>内网需重点确认的全Down业务：datafactory-80、datapriv-80、hotel-crs-http、hotel-kxi-http、otelbi-yy-8090、wdfile-http。</w:t>
      </w:r>
    </w:p>
    <w:p>
      <w:pPr>
        <w:pStyle w:val="Heading2"/>
      </w:pPr>
      <w:r>
        <w:t>3.2 DMZ区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98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对象类别</w:t>
            </w:r>
          </w:p>
        </w:tc>
        <w:tc>
          <w:tcPr>
            <w:tcW w:type="dxa" w:w="3969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配置规模/初筛情况</w:t>
            </w:r>
          </w:p>
        </w:tc>
        <w:tc>
          <w:tcPr>
            <w:tcW w:type="dxa" w:w="3402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处置原则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Virtual Server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约156个；已禁用4个；多项业务关联Pool全Down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对外业务观察期不少于30天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Pool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约116个；初筛9个高可信度无引用Pool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每批不超过2个Pool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Node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约333个；存在疑似孤立Node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只删除未被任何保留Pool使用的Node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Monitor/Profile/iRule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存在无引用辅助对象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先清理低风险对象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证书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存在过期证书仍被Profile或Virtual引用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优先安排独立证书变更</w:t>
            </w:r>
          </w:p>
        </w:tc>
      </w:tr>
    </w:tbl>
    <w:p>
      <w:pPr>
        <w:spacing w:after="0"/>
      </w:pPr>
    </w:p>
    <w:p>
      <w:pPr>
        <w:pStyle w:val="正文首行"/>
      </w:pPr>
      <w:r>
        <w:rPr>
          <w:b/>
        </w:rPr>
        <w:t>DMZ高可信度无引用Pool候选：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850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402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对象名称</w:t>
            </w:r>
          </w:p>
        </w:tc>
        <w:tc>
          <w:tcPr>
            <w:tcW w:type="dxa" w:w="5102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初步建议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cloud-nginx-test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复核无引用后删除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hotel-gwqd-80-new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确认是否为迁移过程遗留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least-connections-member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名称类似测试对象，需确认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load-balancing-method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名称类似测试对象，需确认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remote-1-23344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与new对象一并核查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remote-1-23344-new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与旧对象一并核查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test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测试对象，仍需检查引用与流量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wanda-fileupload-443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成员为Up，但现有Virtual使用wanda-fileupload-http，需业务确认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9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wanda-firedata-8895</w:t>
            </w:r>
          </w:p>
        </w:tc>
        <w:tc>
          <w:tcPr>
            <w:tcW w:type="dxa" w:w="5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复核业务退役情况</w:t>
            </w:r>
          </w:p>
        </w:tc>
      </w:tr>
    </w:tbl>
    <w:p>
      <w:pPr>
        <w:spacing w:after="0"/>
      </w:pPr>
    </w:p>
    <w:p>
      <w:pPr>
        <w:pStyle w:val="正文首行"/>
      </w:pPr>
      <w:r>
        <w:t>DMZ已禁用Virtual Server：eYou-8080、mnew-nginx-443、remote-0、wanda-firedata-0。</w:t>
      </w:r>
    </w:p>
    <w:p>
      <w:pPr>
        <w:pStyle w:val="正文首行"/>
      </w:pPr>
      <w:r>
        <w:t>DMZ全Down业务数量较多，主要包括酒店渠道、POS、WiFi、Exchange等对象。此类状态只能作为疑似退役信号，不能直接作为删除依据。</w:t>
      </w:r>
    </w:p>
    <w:p>
      <w:pPr>
        <w:pStyle w:val="Heading2"/>
      </w:pPr>
      <w:r>
        <w:t>3.3 证书风险项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493"/>
        <w:gridCol w:w="2493"/>
        <w:gridCol w:w="2493"/>
        <w:gridCol w:w="2493"/>
      </w:tblGrid>
      <w:tr>
        <w:trPr>
          <w:trHeight w:hRule="atLeast"/>
          <w:tblHeader w:val="true"/>
        </w:trPr>
        <w:tc>
          <w:tcPr>
            <w:tcW w:type="dxa" w:w="113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835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证书/对象</w:t>
            </w:r>
          </w:p>
        </w:tc>
        <w:tc>
          <w:tcPr>
            <w:tcW w:type="dxa" w:w="3118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118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处理要求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内网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wandahotels.com-2026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已过期，仍被wandahotel.com-new、wandahotels.com-2025等Profile引用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先更新证书及Profile，验证SNI和TLS后再清理旧对象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DMZ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opapp.wandahotels.com-2021.crt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已过期，仍被opapp.wandahotels.com-2021 Profile及相关Virtual引用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独立安排证书替换变更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DMZ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wandahotel-2026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已过期，仍被多个SSL Profile引用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先替换证书，再清理历史Profile和私钥</w:t>
            </w:r>
          </w:p>
        </w:tc>
      </w:tr>
    </w:tbl>
    <w:p>
      <w:pPr>
        <w:spacing w:after="0"/>
      </w:pPr>
    </w:p>
    <w:p>
      <w:pPr>
        <w:pStyle w:val="Heading1"/>
      </w:pPr>
      <w:r>
        <w:t>4. 清理判定标准</w:t>
      </w:r>
    </w:p>
    <w:p>
      <w:pPr>
        <w:pStyle w:val="Heading2"/>
      </w:pPr>
      <w:r>
        <w:t>4.1 可进入删除清单的条件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对象在running-config中不存在任何上层引用，且跨Partition检查无引用。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近30天无连接、无流量、无业务日志，或业务负责人书面确认已退役。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Node不属于任何保留Pool；Monitor不被任何Pool或Member使用；Profile/iRule不被任何Virtual或其他对象引用。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对象不属于系统默认、HA设备信任、设备证书、iApp/AS3/BIG-IQ或其他自动化平台管理范围。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变更前已保存对象级配置和UCS，可在维护窗口内快速恢复。</w:t>
      </w:r>
    </w:p>
    <w:p>
      <w:pPr>
        <w:pStyle w:val="Heading2"/>
      </w:pPr>
      <w:r>
        <w:t>4.2 禁止直接删除的对象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系统默认Profile、Monitor、Persistence、系统CA Bundle及BIG-IP设备信任相关证书。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dtca.crt、dtdi.crt及对应私钥、HA设备证书、设备组和流量组对象。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仍被Virtual、Pool、iRule、Profile、Request Log或HSL对象引用的配置。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仅因Pool Member当前为Down而被判定为废弃的对象。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名称无法判断用途、无业务负责人、无流量数据支撑的对象。</w:t>
      </w:r>
    </w:p>
    <w:p>
      <w:pPr>
        <w:pStyle w:val="Heading1"/>
      </w:pPr>
      <w:r>
        <w:t>5. 实施步骤</w:t>
      </w:r>
    </w:p>
    <w:p>
      <w:pPr>
        <w:pStyle w:val="Heading2"/>
      </w:pPr>
      <w:r>
        <w:t>5.1 变更前检查与备份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</w:rPr>
        <w:t>确认当前Active/Standby角色和配置同步状态。</w:t>
      </w:r>
    </w:p>
    <w:p>
      <w:pPr>
        <w:pStyle w:val="代码"/>
        <w:keepLines/>
        <w:shd w:fill="F2F2F2"/>
      </w:pPr>
      <w:r>
        <w:rPr>
          <w:rFonts w:ascii="Noto Sans Mono CJK SC" w:hAnsi="Noto Sans Mono CJK SC" w:eastAsia="Noto Sans Mono CJK SC"/>
        </w:rPr>
        <w:t>tmsh show cm failover-status</w:t>
        <w:br/>
        <w:t>tmsh show cm sync-status</w:t>
        <w:br/>
        <w:t>tmsh show sys software status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</w:rPr>
        <w:t>保存配置并生成变更前UCS。</w:t>
      </w:r>
    </w:p>
    <w:p>
      <w:pPr>
        <w:pStyle w:val="代码"/>
        <w:keepLines/>
        <w:shd w:fill="F2F2F2"/>
      </w:pPr>
      <w:r>
        <w:rPr>
          <w:rFonts w:ascii="Noto Sans Mono CJK SC" w:hAnsi="Noto Sans Mono CJK SC" w:eastAsia="Noto Sans Mono CJK SC"/>
        </w:rPr>
        <w:t>tmsh save sys config</w:t>
        <w:br/>
        <w:t>tmsh save sys ucs pre_cleanup_YYYYMMDD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</w:rPr>
        <w:t>确认设备CPU、内存、磁盘、连接数、SSL TPS及关键进程日志无异常。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</w:rPr>
        <w:t>冻结本批对象清单，记录对象名称、类型、引用检查结果、业务确认人、回退配置。</w:t>
      </w:r>
    </w:p>
    <w:p>
      <w:pPr>
        <w:pStyle w:val="Heading2"/>
      </w:pPr>
      <w:r>
        <w:t>5.2 对象引用检查</w:t>
      </w:r>
    </w:p>
    <w:p>
      <w:pPr>
        <w:pStyle w:val="正文首行"/>
      </w:pPr>
      <w:r>
        <w:rPr>
          <w:b/>
        </w:rPr>
        <w:t>每个待删除对象至少执行以下检查：</w:t>
      </w:r>
    </w:p>
    <w:p>
      <w:pPr>
        <w:pStyle w:val="代码"/>
        <w:keepLines/>
        <w:shd w:fill="F2F2F2"/>
      </w:pPr>
      <w:r>
        <w:rPr>
          <w:rFonts w:ascii="Noto Sans Mono CJK SC" w:hAnsi="Noto Sans Mono CJK SC" w:eastAsia="Noto Sans Mono CJK SC"/>
        </w:rPr>
        <w:t>tmsh list ltm virtual all-properties one-line | grep -F '&lt;对象名&gt;'</w:t>
        <w:br/>
        <w:t>tmsh list ltm pool all-properties one-line | grep -F '&lt;对象名&gt;'</w:t>
        <w:br/>
        <w:t>tmsh list ltm rule | grep -F '&lt;对象名&gt;'</w:t>
        <w:br/>
        <w:t>tmsh list ltm profile all-properties | grep -F '&lt;对象名&gt;'</w:t>
        <w:br/>
        <w:t>grep -nF '&lt;对象名&gt;' /config/bigip.conf /config/bigip_base.conf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Pool：确认未被Virtual、iRule、Policy、Request Log或其他Profile间接引用。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Node：确认未被任何保留Pool或Pool Member使用。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Monitor：确认未被Pool及Member使用。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Profile/iRule：确认未被Virtual挂载，且未被其他Profile继承或调用。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证书/私钥：确认未被Client SSL、Server SSL或认证对象引用。</w:t>
      </w:r>
    </w:p>
    <w:p>
      <w:pPr>
        <w:pStyle w:val="Heading2"/>
      </w:pPr>
      <w:r>
        <w:t>5.3 清理顺序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850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118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669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Virtual Server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退役业务先Disable观察，确认后删除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iRule / Policy / Persistence / Profile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解除上层挂载后清理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Pool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确认无Virtual及其他对象引用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Pool Member / Node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只删除独占且无其他引用的Node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Monitor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确认不再被任何Pool或Member引用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SSL Profile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先完成证书替换和Virtual验证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证书 / 链 / 私钥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最后删除无引用历史对象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SNAT / HSL / 日志辅助对象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最后复查并清理</w:t>
            </w:r>
          </w:p>
        </w:tc>
      </w:tr>
    </w:tbl>
    <w:p>
      <w:pPr>
        <w:spacing w:after="0"/>
      </w:pPr>
    </w:p>
    <w:p>
      <w:pPr>
        <w:pStyle w:val="Heading2"/>
      </w:pPr>
      <w:r>
        <w:t>5.4 命令格式</w:t>
      </w:r>
    </w:p>
    <w:p>
      <w:pPr>
        <w:pStyle w:val="正文首行"/>
      </w:pPr>
      <w:r>
        <w:rPr>
          <w:b/>
        </w:rPr>
        <w:t>以下仅为命令格式示例，实际命令必须使用审批清单中的完整对象名：</w:t>
      </w:r>
    </w:p>
    <w:p>
      <w:pPr>
        <w:pStyle w:val="代码"/>
        <w:keepLines/>
        <w:shd w:fill="F2F2F2"/>
      </w:pPr>
      <w:r>
        <w:rPr>
          <w:rFonts w:ascii="Noto Sans Mono CJK SC" w:hAnsi="Noto Sans Mono CJK SC" w:eastAsia="Noto Sans Mono CJK SC"/>
        </w:rPr>
        <w:t>tmsh modify ltm virtual &lt;VS名称&gt; disabled</w:t>
        <w:br/>
        <w:br/>
        <w:t>tmsh delete ltm virtual &lt;VS名称&gt;</w:t>
        <w:br/>
        <w:t>tmsh delete ltm pool &lt;Pool名称&gt;</w:t>
        <w:br/>
        <w:t>tmsh delete ltm node &lt;Node名称或IP&gt;</w:t>
        <w:br/>
        <w:t>tmsh delete ltm rule &lt;iRule名称&gt;</w:t>
        <w:br/>
        <w:t>tmsh delete ltm monitor &lt;monitor类型&gt; &lt;Monitor名称&gt;</w:t>
        <w:br/>
        <w:t>tmsh delete ltm profile &lt;profile类型&gt; &lt;Profile名称&gt;</w:t>
        <w:br/>
        <w:t>tmsh delete ltm persistence &lt;persistence类型&gt; &lt;名称&gt;</w:t>
        <w:br/>
        <w:t>tmsh delete ltm snatpool &lt;SNAT-Pool名称&gt;</w:t>
      </w:r>
    </w:p>
    <w:p>
      <w:pPr>
        <w:pStyle w:val="Heading2"/>
      </w:pPr>
      <w:r>
        <w:t>5.5 保存、校验和HA同步</w:t>
      </w:r>
    </w:p>
    <w:p>
      <w:pPr>
        <w:pStyle w:val="代码"/>
        <w:keepLines/>
        <w:shd w:fill="F2F2F2"/>
      </w:pPr>
      <w:r>
        <w:rPr>
          <w:rFonts w:ascii="Noto Sans Mono CJK SC" w:hAnsi="Noto Sans Mono CJK SC" w:eastAsia="Noto Sans Mono CJK SC"/>
        </w:rPr>
        <w:t>tmsh save sys config</w:t>
        <w:br/>
        <w:t>tmsh load sys config verify</w:t>
        <w:br/>
        <w:t>tmsh show cm sync-status</w:t>
      </w:r>
    </w:p>
    <w:p>
      <w:pPr>
        <w:pStyle w:val="正文首行"/>
      </w:pPr>
      <w:r>
        <w:t>内网服务区同步组：</w:t>
      </w:r>
    </w:p>
    <w:p>
      <w:pPr>
        <w:pStyle w:val="代码"/>
        <w:keepLines/>
        <w:shd w:fill="F2F2F2"/>
      </w:pPr>
      <w:r>
        <w:rPr>
          <w:rFonts w:ascii="Noto Sans Mono CJK SC" w:hAnsi="Noto Sans Mono CJK SC" w:eastAsia="Noto Sans Mono CJK SC"/>
        </w:rPr>
        <w:t>tmsh run cm config-sync to-group HA_GROUPE</w:t>
      </w:r>
    </w:p>
    <w:p>
      <w:pPr>
        <w:pStyle w:val="正文首行"/>
      </w:pPr>
      <w:r>
        <w:t>DMZ区同步组：</w:t>
      </w:r>
    </w:p>
    <w:p>
      <w:pPr>
        <w:pStyle w:val="代码"/>
        <w:keepLines/>
        <w:shd w:fill="F2F2F2"/>
      </w:pPr>
      <w:r>
        <w:rPr>
          <w:rFonts w:ascii="Noto Sans Mono CJK SC" w:hAnsi="Noto Sans Mono CJK SC" w:eastAsia="Noto Sans Mono CJK SC"/>
        </w:rPr>
        <w:t>tmsh run cm config-sync to-group device-group-failover-d3ef8d18f2af</w:t>
      </w:r>
    </w:p>
    <w:p>
      <w:pPr>
        <w:pStyle w:val="正文首行"/>
      </w:pPr>
      <w:r>
        <w:t>同步完成后再次确认failover-status和sync-status正常，配置恢复In Sync。</w:t>
      </w:r>
    </w:p>
    <w:p>
      <w:pPr>
        <w:pStyle w:val="Heading1"/>
      </w:pPr>
      <w:r>
        <w:t>6. 验证方案</w:t>
      </w:r>
    </w:p>
    <w:p>
      <w:pPr>
        <w:pStyle w:val="Heading2"/>
      </w:pPr>
      <w:r>
        <w:t>6.1 设备层验证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Active/Standby角色正常，ConfigSync为In Sync。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tmsh load sys config verify通过，无配置加载错误。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TMM、mcpd、bigd无异常重启或持续错误。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CPU、内存、连接数、SSL TPS与变更前相比无异常波动。</w:t>
      </w:r>
    </w:p>
    <w:p>
      <w:pPr>
        <w:pStyle w:val="Heading2"/>
      </w:pPr>
      <w:r>
        <w:t>6.2 业务层验证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701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3969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内网服务区</w:t>
            </w:r>
          </w:p>
        </w:tc>
        <w:tc>
          <w:tcPr>
            <w:tcW w:type="dxa" w:w="3969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DMZ区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端口与访问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关键VIP端口、HTTP/HTTPS、内部调用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公网和内网双向访问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应用功能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登录、查询、上传、接口调用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公网入口、回源、WAF/安全链路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SSL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证书链、SNI、TLS握手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证书链、SNI、多域名及默认Profile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负载均衡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Pool/Member状态、会话保持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Pool/Member、源地址转换、外部调用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日志与告警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监控平台和业务日志</w:t>
            </w:r>
          </w:p>
        </w:tc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公网日志、安全日志、业务告警</w:t>
            </w:r>
          </w:p>
        </w:tc>
      </w:tr>
    </w:tbl>
    <w:p>
      <w:pPr>
        <w:spacing w:after="0"/>
      </w:pPr>
    </w:p>
    <w:p>
      <w:pPr>
        <w:pStyle w:val="Heading2"/>
      </w:pPr>
      <w:r>
        <w:t>6.3 观察要求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低风险无引用辅助对象：现场观察不少于30分钟。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内网Virtual/Pool：Disable后观察不少于30天。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DMZ Virtual/Pool：Disable后观察不少于30天，并至少覆盖一个业务高峰期。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证书和SSL Profile变更：至少完成一次多域名/SNI验证并覆盖高峰期。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同类高风险对象批次之间至少间隔一个允许变更窗口。</w:t>
      </w:r>
    </w:p>
    <w:p>
      <w:pPr>
        <w:pStyle w:val="Heading1"/>
      </w:pPr>
      <w:r>
        <w:t>7. 回退方案</w:t>
      </w:r>
    </w:p>
    <w:p>
      <w:pPr>
        <w:pStyle w:val="Heading2"/>
      </w:pPr>
      <w:r>
        <w:t>7.1 Disable阶段回退</w:t>
      </w:r>
    </w:p>
    <w:p>
      <w:pPr>
        <w:pStyle w:val="代码"/>
        <w:keepLines/>
        <w:shd w:fill="F2F2F2"/>
      </w:pPr>
      <w:r>
        <w:rPr>
          <w:rFonts w:ascii="Noto Sans Mono CJK SC" w:hAnsi="Noto Sans Mono CJK SC" w:eastAsia="Noto Sans Mono CJK SC"/>
        </w:rPr>
        <w:t>tmsh modify ltm virtual &lt;VS名称&gt; enabled</w:t>
        <w:br/>
        <w:t>tmsh save sys config</w:t>
        <w:br/>
        <w:t>tmsh run cm config-sync to-group &lt;同步组名称&gt;</w:t>
      </w:r>
    </w:p>
    <w:p>
      <w:pPr>
        <w:pStyle w:val="Heading2"/>
      </w:pPr>
      <w:r>
        <w:t>7.2 删除阶段对象级回退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  <w:sz w:val="21"/>
        </w:rPr>
        <w:t>1. 恢复证书、证书链及私钥。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  <w:sz w:val="21"/>
        </w:rPr>
        <w:t>2. 恢复Monitor、Profile、Persistence和iRule。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  <w:sz w:val="21"/>
        </w:rPr>
        <w:t>3. 恢复Node。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  <w:sz w:val="21"/>
        </w:rPr>
        <w:t>4. 恢复Pool及Pool Member。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  <w:sz w:val="21"/>
        </w:rPr>
        <w:t>5. 恢复Virtual Server并重新挂载依赖对象。</w:t>
      </w:r>
    </w:p>
    <w:p>
      <w:pPr>
        <w:spacing w:after="40" w:line="288" w:lineRule="auto"/>
        <w:ind w:left="170" w:hanging="170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  <w:sz w:val="21"/>
        </w:rPr>
        <w:t>6. 保存配置，执行配置校验并同步HA。</w:t>
      </w:r>
    </w:p>
    <w:p>
      <w:pPr>
        <w:pStyle w:val="Heading2"/>
      </w:pPr>
      <w:r>
        <w:t>7.3 UCS回退</w:t>
      </w:r>
    </w:p>
    <w:p>
      <w:pPr>
        <w:pStyle w:val="正文首行"/>
      </w:pPr>
      <w:r>
        <w:rPr>
          <w:b/>
        </w:rPr>
        <w:t>UCS仅用于配置整体异常且对象级回退无法完成的场景。</w:t>
      </w:r>
      <w:r>
        <w:t xml:space="preserve"> UCS恢复可能覆盖变更后产生的其他合法配置，必须经审批后执行，不作为普通单对象清理的首选回退方式。</w:t>
      </w:r>
    </w:p>
    <w:p>
      <w:pPr>
        <w:pStyle w:val="Heading1"/>
      </w:pPr>
      <w:r>
        <w:t>8. 变更终止条件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HA状态异常或ConfigSync无法恢复In Sync。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配置校验失败，或mcpd/TMM/bigd出现异常。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关键Virtual连接数、流量或成功率异常下降。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出现大面积Pool Member Down或业务告警。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HTTPS证书、SNI、证书链或TLS握手异常。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业务方反馈访问异常。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对象引用关系、业务归属或回退配置无法确认。</w:t>
      </w:r>
    </w:p>
    <w:p>
      <w:pPr>
        <w:pStyle w:val="Heading1"/>
      </w:pPr>
      <w:r>
        <w:t>9. 验收标准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所有保留Virtual、Pool、Node及关键业务运行正常。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HA状态正常，配置同步为In Sync。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无误删系统、HA、设备信任及默认对象。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清理后的配置能够成功保存和加载。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已过期且无引用的业务证书、私钥和历史Profile按计划清理。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清理前后对象数量、执行命令、验证结果、业务确认及回退文件完成归档。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每个删除对象均有执行人、复核人、业务确认人和变更记录。</w:t>
      </w:r>
    </w:p>
    <w:p>
      <w:pPr>
        <w:pStyle w:val="Heading1"/>
      </w:pPr>
      <w:r>
        <w:t>附录A：执行记录模板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rHeight w:hRule="atLeast"/>
          <w:tblHeader w:val="true"/>
        </w:trPr>
        <w:tc>
          <w:tcPr>
            <w:tcW w:type="dxa" w:w="130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13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1417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对象类型</w:t>
            </w:r>
          </w:p>
        </w:tc>
        <w:tc>
          <w:tcPr>
            <w:tcW w:type="dxa" w:w="2381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对象名称</w:t>
            </w:r>
          </w:p>
        </w:tc>
        <w:tc>
          <w:tcPr>
            <w:tcW w:type="dxa" w:w="1701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变更动作</w:t>
            </w:r>
          </w:p>
        </w:tc>
        <w:tc>
          <w:tcPr>
            <w:tcW w:type="dxa" w:w="1417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业务确认人</w:t>
            </w:r>
          </w:p>
        </w:tc>
        <w:tc>
          <w:tcPr>
            <w:tcW w:type="dxa" w:w="113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执行人</w:t>
            </w:r>
          </w:p>
        </w:tc>
        <w:tc>
          <w:tcPr>
            <w:tcW w:type="dxa" w:w="113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复核人</w:t>
            </w:r>
          </w:p>
        </w:tc>
        <w:tc>
          <w:tcPr>
            <w:tcW w:type="dxa" w:w="1984"/>
            <w:shd w:fill="44546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结果/备注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附录B：源配置说明</w:t>
      </w:r>
    </w:p>
    <w:p>
      <w:pPr>
        <w:pStyle w:val="正文首行"/>
      </w:pPr>
      <w:r>
        <w:rPr>
          <w:b/>
        </w:rPr>
        <w:t>本方案基于以下两份running-config采集日志形成：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181952-10.199.245.11.log：内网服务区配置。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</w:rPr>
        <w:t>182024-10.199.114.250.log：DMZ区配置。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  <w:fldChar w:fldCharType="begin"/>
      <w:instrText xml:space="preserve">PAGE</w:instrTex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7F7F"/>
        <w:sz w:val="17"/>
      </w:rPr>
      <w:t>F5配置清理方案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首行">
    <w:name w:val="正文首行"/>
    <w:basedOn w:val="Normal"/>
    <w:pPr>
      <w:spacing w:line="324" w:lineRule="auto" w:after="80"/>
      <w:ind w:firstLine="420"/>
    </w:pPr>
    <w:rPr>
      <w:rFonts w:ascii="Noto Sans CJK SC" w:hAnsi="Noto Sans CJK SC" w:eastAsia="Noto Sans CJK SC"/>
      <w:sz w:val="21"/>
    </w:rPr>
  </w:style>
  <w:style w:type="paragraph" w:customStyle="1" w:styleId="代码">
    <w:name w:val="代码"/>
    <w:pPr>
      <w:spacing w:before="60" w:after="60"/>
      <w:ind w:left="227" w:right="227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