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Microsoft YaHei" w:hAnsi="Microsoft YaHei" w:eastAsia="微软雅黑"/>
          <w:b/>
          <w:sz w:val="48"/>
        </w:rPr>
        <w:t>Juniper QFX51 系列在线设备</w:t>
        <w:br/>
        <w:t>升级实施方案</w:t>
      </w:r>
    </w:p>
    <w:p>
      <w:pPr>
        <w:spacing w:before="500"/>
        <w:jc w:val="center"/>
      </w:pPr>
      <w:r>
        <w:rPr>
          <w:sz w:val="26"/>
        </w:rPr>
        <w:t>适用范围：QFX5100 / QFX5110 / QFX5120 在线设备</w:t>
      </w:r>
    </w:p>
    <w:p>
      <w:pPr>
        <w:spacing w:before="3000"/>
        <w:jc w:val="center"/>
      </w:pPr>
      <w:r>
        <w:rPr>
          <w:sz w:val="22"/>
        </w:rPr>
        <w:t>版本：V2.0</w:t>
        <w:br/>
        <w:t>日期：2026-07-29</w:t>
        <w:br/>
        <w:t>密级：内部使用</w:t>
      </w:r>
    </w:p>
    <w:p>
      <w:r>
        <w:br w:type="page"/>
      </w:r>
    </w:p>
    <w:p>
      <w:pPr>
        <w:pStyle w:val="Heading1"/>
      </w:pPr>
      <w:r>
        <w:t>修订记录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440"/>
            <w:vAlign w:val="center"/>
            <w:shd w:fill="244A68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1872"/>
            <w:vAlign w:val="center"/>
            <w:shd w:fill="244A68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6480"/>
            <w:vAlign w:val="center"/>
            <w:shd w:fill="244A68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修订说明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V1.0</w:t>
            </w:r>
          </w:p>
        </w:tc>
        <w:tc>
          <w:tcPr>
            <w:tcW w:type="dxa" w:w="1872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2021-02-23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QFX5100 VC 实验室升级试验</w:t>
            </w:r>
          </w:p>
        </w:tc>
      </w:tr>
      <w:tr>
        <w:tc>
          <w:tcPr>
            <w:tcW w:type="dxa" w:w="1440"/>
            <w:vAlign w:val="center"/>
            <w:shd w:fill="F3F5F7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V2.0</w:t>
            </w:r>
          </w:p>
        </w:tc>
        <w:tc>
          <w:tcPr>
            <w:tcW w:type="dxa" w:w="1872"/>
            <w:vAlign w:val="center"/>
            <w:shd w:fill="F3F5F7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2026-07-29</w:t>
            </w:r>
          </w:p>
        </w:tc>
        <w:tc>
          <w:tcPr>
            <w:tcW w:type="dxa" w:w="6480"/>
            <w:vAlign w:val="center"/>
            <w:shd w:fill="F3F5F7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结合现网在线 QFX51 设备、指定推荐版本和维护窗口重新编制实施方案</w:t>
            </w:r>
          </w:p>
        </w:tc>
      </w:tr>
    </w:tbl>
    <w:p>
      <w:pPr>
        <w:pStyle w:val="Heading1"/>
      </w:pPr>
      <w:r>
        <w:t>1. 方案概述</w:t>
      </w:r>
    </w:p>
    <w:p>
      <w:r>
        <w:t>本方案用于现网在线 Juniper QFX51 系列交换机的软件版本升级。方案按已确认的推荐版本执行，在线设备共 28 台，其中 20 台需要升级，8 台已达到 QFX5100 指定推荐版本并保持现状。</w:t>
      </w:r>
    </w:p>
    <w:p>
      <w:r>
        <w:t>本次方案以“业务安全优先、分批实施、可验证、可回退”为原则。原 2021 年实验文档中的普通升级与 NSSU 结果仅作为方法和时长参考，不能直接替代现网兼容性验证。</w:t>
      </w:r>
    </w:p>
    <w:p>
      <w:pPr>
        <w:pStyle w:val="Heading1"/>
      </w:pPr>
      <w:r>
        <w:t>2. 升级范围与目标版本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1728"/>
            <w:vAlign w:val="center"/>
            <w:shd w:fill="244A68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型号</w:t>
            </w:r>
          </w:p>
        </w:tc>
        <w:tc>
          <w:tcPr>
            <w:tcW w:type="dxa" w:w="1440"/>
            <w:vAlign w:val="center"/>
            <w:shd w:fill="244A68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在线数量</w:t>
            </w:r>
          </w:p>
        </w:tc>
        <w:tc>
          <w:tcPr>
            <w:tcW w:type="dxa" w:w="1440"/>
            <w:vAlign w:val="center"/>
            <w:shd w:fill="244A68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需升级</w:t>
            </w:r>
          </w:p>
        </w:tc>
        <w:tc>
          <w:tcPr>
            <w:tcW w:type="dxa" w:w="1440"/>
            <w:vAlign w:val="center"/>
            <w:shd w:fill="244A68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保持现状</w:t>
            </w:r>
          </w:p>
        </w:tc>
        <w:tc>
          <w:tcPr>
            <w:tcW w:type="dxa" w:w="2880"/>
            <w:vAlign w:val="center"/>
            <w:shd w:fill="244A68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目标版本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QFX5100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14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6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8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21.4R3-S10.13</w:t>
            </w:r>
          </w:p>
        </w:tc>
      </w:tr>
      <w:tr>
        <w:tc>
          <w:tcPr>
            <w:tcW w:type="dxa" w:w="1728"/>
            <w:vAlign w:val="center"/>
            <w:shd w:fill="F3F5F7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QFX5110</w:t>
            </w:r>
          </w:p>
        </w:tc>
        <w:tc>
          <w:tcPr>
            <w:tcW w:type="dxa" w:w="1440"/>
            <w:vAlign w:val="center"/>
            <w:shd w:fill="F3F5F7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10</w:t>
            </w:r>
          </w:p>
        </w:tc>
        <w:tc>
          <w:tcPr>
            <w:tcW w:type="dxa" w:w="1440"/>
            <w:vAlign w:val="center"/>
            <w:shd w:fill="F3F5F7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10</w:t>
            </w:r>
          </w:p>
        </w:tc>
        <w:tc>
          <w:tcPr>
            <w:tcW w:type="dxa" w:w="1440"/>
            <w:vAlign w:val="center"/>
            <w:shd w:fill="F3F5F7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0</w:t>
            </w:r>
          </w:p>
        </w:tc>
        <w:tc>
          <w:tcPr>
            <w:tcW w:type="dxa" w:w="2880"/>
            <w:vAlign w:val="center"/>
            <w:shd w:fill="F3F5F7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25.2R2-S1.5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QFX5120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4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4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0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25.2R2-S1.5</w:t>
            </w:r>
          </w:p>
        </w:tc>
      </w:tr>
      <w:tr>
        <w:tc>
          <w:tcPr>
            <w:tcW w:type="dxa" w:w="1728"/>
            <w:vAlign w:val="center"/>
            <w:shd w:fill="F3F5F7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合计</w:t>
            </w:r>
          </w:p>
        </w:tc>
        <w:tc>
          <w:tcPr>
            <w:tcW w:type="dxa" w:w="1440"/>
            <w:vAlign w:val="center"/>
            <w:shd w:fill="F3F5F7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28</w:t>
            </w:r>
          </w:p>
        </w:tc>
        <w:tc>
          <w:tcPr>
            <w:tcW w:type="dxa" w:w="1440"/>
            <w:vAlign w:val="center"/>
            <w:shd w:fill="F3F5F7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20</w:t>
            </w:r>
          </w:p>
        </w:tc>
        <w:tc>
          <w:tcPr>
            <w:tcW w:type="dxa" w:w="1440"/>
            <w:vAlign w:val="center"/>
            <w:shd w:fill="F3F5F7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8</w:t>
            </w:r>
          </w:p>
        </w:tc>
        <w:tc>
          <w:tcPr>
            <w:tcW w:type="dxa" w:w="2880"/>
            <w:vAlign w:val="center"/>
            <w:shd w:fill="F3F5F7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—</w:t>
            </w:r>
          </w:p>
        </w:tc>
      </w:tr>
    </w:tbl>
    <w:p>
      <w:r>
        <w:rPr>
          <w:b/>
        </w:rPr>
        <w:t>重要限制：</w:t>
      </w:r>
      <w:r>
        <w:t>从 19.x/20.x 直接跨越到 21.4 或 25.2 是否允许，必须依据对应平台 Release Notes、升级路径工具或 JTAC 结论确认。未确认前不得直接跨版本安装。</w:t>
      </w:r>
    </w:p>
    <w:p>
      <w:pPr>
        <w:pStyle w:val="Heading1"/>
      </w:pPr>
      <w:r>
        <w:t>3. 实施窗口与批次原则</w:t>
      </w:r>
    </w:p>
    <w:p>
      <w:pPr>
        <w:pStyle w:val="ListBullet"/>
        <w:spacing w:after="40"/>
      </w:pPr>
      <w:r>
        <w:t>仅在周三实施在线设备升级。</w:t>
      </w:r>
    </w:p>
    <w:p>
      <w:pPr>
        <w:pStyle w:val="ListBullet"/>
        <w:spacing w:after="40"/>
      </w:pPr>
      <w:r>
        <w:t>每月第一周、每月最后一周不实施。</w:t>
      </w:r>
    </w:p>
    <w:p>
      <w:pPr>
        <w:pStyle w:val="ListBullet"/>
        <w:spacing w:after="40"/>
      </w:pPr>
      <w:r>
        <w:t>包含中国法定节假日的周不实施。</w:t>
      </w:r>
    </w:p>
    <w:p>
      <w:pPr>
        <w:pStyle w:val="ListBullet"/>
        <w:spacing w:after="40"/>
      </w:pPr>
      <w:r>
        <w:t>每次原则上升级同一业务对或同一 VC 的 2 台设备，完成后观察至下一个窗口。</w:t>
      </w:r>
    </w:p>
    <w:p>
      <w:pPr>
        <w:pStyle w:val="ListBullet"/>
        <w:spacing w:after="40"/>
      </w:pPr>
      <w:r>
        <w:t>首个可用窗口为 2026-08-12；计划最晚于 2026-12-16 完成。</w:t>
      </w:r>
    </w:p>
    <w:p>
      <w:pPr>
        <w:pStyle w:val="Heading1"/>
      </w:pPr>
      <w:r>
        <w:t>4. 升级方式选择</w:t>
      </w:r>
    </w:p>
    <w:p>
      <w:pPr>
        <w:pStyle w:val="Heading2"/>
      </w:pPr>
      <w:r>
        <w:t>4.1 QFX5100 两成员 VC</w:t>
      </w:r>
    </w:p>
    <w:p>
      <w:r>
        <w:t>优先采用“逐成员普通升级”作为基线方案：先升级 backup，再升级 master。原实验记录显示，backup 升级期间业务正常；升级 master 时曾出现约 7 分钟业务中断、约 3 分钟丢包。该数据仅用于估算窗口，现网应按最大 15 分钟中断风险准备。</w:t>
      </w:r>
    </w:p>
    <w:p>
      <w:pPr>
        <w:pStyle w:val="ListBullet"/>
        <w:spacing w:after="40"/>
      </w:pPr>
      <w:r>
        <w:t>若计划采用 NSSU，必须先确认当前版本到目标版本属于支持的 NSSU 版本组合。</w:t>
      </w:r>
    </w:p>
    <w:p>
      <w:pPr>
        <w:pStyle w:val="ListBullet"/>
        <w:spacing w:after="40"/>
      </w:pPr>
      <w:r>
        <w:t>NSSU 前必须确认 GRES、NSR、NSB 和 commit synchronize 正常启用。</w:t>
      </w:r>
    </w:p>
    <w:p>
      <w:pPr>
        <w:pStyle w:val="ListBullet"/>
        <w:spacing w:after="40"/>
      </w:pPr>
      <w:r>
        <w:t>NSSU 只承诺最小化中断，不等同于绝对无丢包；原实验约耗时 45 分钟并出现 1 个丢包。</w:t>
      </w:r>
    </w:p>
    <w:p>
      <w:pPr>
        <w:pStyle w:val="Heading2"/>
      </w:pPr>
      <w:r>
        <w:t>4.2 QFX5110 / QFX5120</w:t>
      </w:r>
    </w:p>
    <w:p>
      <w:r>
        <w:t>根据设备实际形态选择单机重启升级、两成员 VC 逐成员升级或经验证的 NSSU。25.2R2-S1.5 目标版本跨度较大，实施前必须在同型号备件或测试环境完成升级路径、配置兼容和业务转发验证。</w:t>
      </w:r>
    </w:p>
    <w:p>
      <w:pPr>
        <w:pStyle w:val="Heading1"/>
      </w:pPr>
      <w:r>
        <w:t>5. 升级前检查</w:t>
      </w:r>
    </w:p>
    <w:p>
      <w:pPr>
        <w:pStyle w:val="ListBullet"/>
        <w:spacing w:after="40"/>
      </w:pPr>
      <w:r>
        <w:t>确认设备名称、序列号、型号、当前版本、VC Member ID、Master/Backup 角色与目标版本一致。</w:t>
      </w:r>
    </w:p>
    <w:p>
      <w:pPr>
        <w:pStyle w:val="ListBullet"/>
        <w:spacing w:after="40"/>
      </w:pPr>
      <w:r>
        <w:t>确认软件包型号匹配、签名有效、MD5/SHA256 校验一致，并预留足够 /var/tmp 和根分区空间。</w:t>
      </w:r>
    </w:p>
    <w:p>
      <w:pPr>
        <w:pStyle w:val="ListBullet"/>
        <w:spacing w:after="40"/>
      </w:pPr>
      <w:r>
        <w:t>备份配置：show configuration | display set、request system snapshot、rescue configuration（按平台支持情况执行）。</w:t>
      </w:r>
    </w:p>
    <w:p>
      <w:pPr>
        <w:pStyle w:val="ListBullet"/>
        <w:spacing w:after="40"/>
      </w:pPr>
      <w:r>
        <w:t>记录升级前状态：VC、接口、聚合链路、路由邻居、MAC/ARP、告警、CPU/内存、业务探测结果。</w:t>
      </w:r>
    </w:p>
    <w:p>
      <w:pPr>
        <w:pStyle w:val="ListBullet"/>
        <w:spacing w:after="40"/>
      </w:pPr>
      <w:r>
        <w:t>确认双上联/聚合链路跨成员分布，避免升级单成员时全部业务链路同时中断。</w:t>
      </w:r>
    </w:p>
    <w:p>
      <w:pPr>
        <w:pStyle w:val="ListBullet"/>
        <w:spacing w:after="40"/>
      </w:pPr>
      <w:r>
        <w:t>检查 commit synchronize、GRES/NSR/NSB（若采用 NSSU）、RE 同步及无未提交配置。</w:t>
      </w:r>
    </w:p>
    <w:p>
      <w:pPr>
        <w:pStyle w:val="ListBullet"/>
        <w:spacing w:after="40"/>
      </w:pPr>
      <w:r>
        <w:t>暂停自动化配置下发和监控平台的自动重启/自动修复策略。</w:t>
      </w:r>
    </w:p>
    <w:p>
      <w:pPr>
        <w:pStyle w:val="ListBullet"/>
        <w:spacing w:after="40"/>
      </w:pPr>
      <w:r>
        <w:t>确认现场或远程带外管理可用，准备串口、Console Server 和断电重启手段。</w:t>
      </w:r>
    </w:p>
    <w:p>
      <w:r>
        <w:t>建议采集命令（按设备版本支持情况调整）：</w:t>
      </w:r>
    </w:p>
    <w:p>
      <w:pPr>
        <w:spacing w:before="40" w:after="40"/>
        <w:ind w:left="360" w:right="144"/>
        <w:shd w:fill="F3F5F7"/>
      </w:pPr>
      <w:r>
        <w:rPr>
          <w:rFonts w:ascii="Consolas" w:hAnsi="Consolas"/>
          <w:sz w:val="17"/>
        </w:rPr>
        <w:t>show version | no-more</w:t>
      </w:r>
    </w:p>
    <w:p>
      <w:pPr>
        <w:spacing w:before="40" w:after="40"/>
        <w:ind w:left="360" w:right="144"/>
        <w:shd w:fill="F3F5F7"/>
      </w:pPr>
      <w:r>
        <w:rPr>
          <w:rFonts w:ascii="Consolas" w:hAnsi="Consolas"/>
          <w:sz w:val="17"/>
        </w:rPr>
        <w:t>show virtual-chassis status</w:t>
      </w:r>
    </w:p>
    <w:p>
      <w:pPr>
        <w:spacing w:before="40" w:after="40"/>
        <w:ind w:left="360" w:right="144"/>
        <w:shd w:fill="F3F5F7"/>
      </w:pPr>
      <w:r>
        <w:rPr>
          <w:rFonts w:ascii="Consolas" w:hAnsi="Consolas"/>
          <w:sz w:val="17"/>
        </w:rPr>
        <w:t>show virtual-chassis vc-port</w:t>
      </w:r>
    </w:p>
    <w:p>
      <w:pPr>
        <w:spacing w:before="40" w:after="40"/>
        <w:ind w:left="360" w:right="144"/>
        <w:shd w:fill="F3F5F7"/>
      </w:pPr>
      <w:r>
        <w:rPr>
          <w:rFonts w:ascii="Consolas" w:hAnsi="Consolas"/>
          <w:sz w:val="17"/>
        </w:rPr>
        <w:t>show chassis hardware</w:t>
      </w:r>
    </w:p>
    <w:p>
      <w:pPr>
        <w:spacing w:before="40" w:after="40"/>
        <w:ind w:left="360" w:right="144"/>
        <w:shd w:fill="F3F5F7"/>
      </w:pPr>
      <w:r>
        <w:rPr>
          <w:rFonts w:ascii="Consolas" w:hAnsi="Consolas"/>
          <w:sz w:val="17"/>
        </w:rPr>
        <w:t>show chassis alarms</w:t>
      </w:r>
    </w:p>
    <w:p>
      <w:pPr>
        <w:spacing w:before="40" w:after="40"/>
        <w:ind w:left="360" w:right="144"/>
        <w:shd w:fill="F3F5F7"/>
      </w:pPr>
      <w:r>
        <w:rPr>
          <w:rFonts w:ascii="Consolas" w:hAnsi="Consolas"/>
          <w:sz w:val="17"/>
        </w:rPr>
        <w:t>show system alarms</w:t>
      </w:r>
    </w:p>
    <w:p>
      <w:pPr>
        <w:spacing w:before="40" w:after="40"/>
        <w:ind w:left="360" w:right="144"/>
        <w:shd w:fill="F3F5F7"/>
      </w:pPr>
      <w:r>
        <w:rPr>
          <w:rFonts w:ascii="Consolas" w:hAnsi="Consolas"/>
          <w:sz w:val="17"/>
        </w:rPr>
        <w:t>show system storage</w:t>
      </w:r>
    </w:p>
    <w:p>
      <w:pPr>
        <w:spacing w:before="40" w:after="40"/>
        <w:ind w:left="360" w:right="144"/>
        <w:shd w:fill="F3F5F7"/>
      </w:pPr>
      <w:r>
        <w:rPr>
          <w:rFonts w:ascii="Consolas" w:hAnsi="Consolas"/>
          <w:sz w:val="17"/>
        </w:rPr>
        <w:t>show system processes extensive | no-more</w:t>
      </w:r>
    </w:p>
    <w:p>
      <w:pPr>
        <w:spacing w:before="40" w:after="40"/>
        <w:ind w:left="360" w:right="144"/>
        <w:shd w:fill="F3F5F7"/>
      </w:pPr>
      <w:r>
        <w:rPr>
          <w:rFonts w:ascii="Consolas" w:hAnsi="Consolas"/>
          <w:sz w:val="17"/>
        </w:rPr>
        <w:t>show interfaces terse | no-more</w:t>
      </w:r>
    </w:p>
    <w:p>
      <w:pPr>
        <w:spacing w:before="40" w:after="40"/>
        <w:ind w:left="360" w:right="144"/>
        <w:shd w:fill="F3F5F7"/>
      </w:pPr>
      <w:r>
        <w:rPr>
          <w:rFonts w:ascii="Consolas" w:hAnsi="Consolas"/>
          <w:sz w:val="17"/>
        </w:rPr>
        <w:t>show lacp interfaces | no-more</w:t>
      </w:r>
    </w:p>
    <w:p>
      <w:pPr>
        <w:spacing w:before="40" w:after="40"/>
        <w:ind w:left="360" w:right="144"/>
        <w:shd w:fill="F3F5F7"/>
      </w:pPr>
      <w:r>
        <w:rPr>
          <w:rFonts w:ascii="Consolas" w:hAnsi="Consolas"/>
          <w:sz w:val="17"/>
        </w:rPr>
        <w:t>show route summary</w:t>
      </w:r>
    </w:p>
    <w:p>
      <w:pPr>
        <w:spacing w:before="40" w:after="40"/>
        <w:ind w:left="360" w:right="144"/>
        <w:shd w:fill="F3F5F7"/>
      </w:pPr>
      <w:r>
        <w:rPr>
          <w:rFonts w:ascii="Consolas" w:hAnsi="Consolas"/>
          <w:sz w:val="17"/>
        </w:rPr>
        <w:t>show bgp summary / show ospf neighbor（按业务实际）</w:t>
      </w:r>
    </w:p>
    <w:p>
      <w:pPr>
        <w:pStyle w:val="Heading1"/>
      </w:pPr>
      <w:r>
        <w:t>6. 实施步骤</w:t>
      </w:r>
    </w:p>
    <w:p>
      <w:pPr>
        <w:pStyle w:val="Heading2"/>
      </w:pPr>
      <w:r>
        <w:t>6.1 软件包上传与校验</w:t>
      </w:r>
    </w:p>
    <w:p>
      <w:pPr>
        <w:pStyle w:val="ListNumber"/>
        <w:spacing w:after="40"/>
      </w:pPr>
      <w:r>
        <w:t>将已确认的软件包上传到 /var/tmp。</w:t>
      </w:r>
    </w:p>
    <w:p>
      <w:pPr>
        <w:pStyle w:val="ListNumber"/>
        <w:spacing w:after="40"/>
      </w:pPr>
      <w:r>
        <w:t>核对文件名、文件大小和校验值。</w:t>
      </w:r>
    </w:p>
    <w:p>
      <w:pPr>
        <w:pStyle w:val="ListNumber"/>
        <w:spacing w:after="40"/>
      </w:pPr>
      <w:r>
        <w:t>执行安装前检查；如平台支持，先使用 validate 检查。不得为图省事默认使用 no-validate。</w:t>
      </w:r>
    </w:p>
    <w:p>
      <w:pPr>
        <w:spacing w:before="40" w:after="40"/>
        <w:ind w:left="360" w:right="144"/>
        <w:shd w:fill="F3F5F7"/>
      </w:pPr>
      <w:r>
        <w:rPr>
          <w:rFonts w:ascii="Consolas" w:hAnsi="Consolas"/>
          <w:sz w:val="17"/>
        </w:rPr>
        <w:t>file checksum sha256 /var/tmp/&lt;package-name&gt;.tgz</w:t>
      </w:r>
    </w:p>
    <w:p>
      <w:pPr>
        <w:pStyle w:val="Heading2"/>
      </w:pPr>
      <w:r>
        <w:t>6.2 QFX5100 VC 普通升级（推荐基线方案）</w:t>
      </w:r>
    </w:p>
    <w:p>
      <w:pPr>
        <w:pStyle w:val="ListNumber"/>
        <w:spacing w:after="40"/>
      </w:pPr>
      <w:r>
        <w:t>确认 Member 0/1 的角色和序列号，明确当前 backup 成员。</w:t>
      </w:r>
    </w:p>
    <w:p>
      <w:pPr>
        <w:pStyle w:val="ListNumber"/>
        <w:spacing w:after="40"/>
      </w:pPr>
      <w:r>
        <w:t>先升级 backup 成员，等待其重启并重新加入 VC。</w:t>
      </w:r>
    </w:p>
    <w:p>
      <w:pPr>
        <w:spacing w:before="40" w:after="40"/>
        <w:ind w:left="360" w:right="144"/>
        <w:shd w:fill="F3F5F7"/>
      </w:pPr>
      <w:r>
        <w:rPr>
          <w:rFonts w:ascii="Consolas" w:hAnsi="Consolas"/>
          <w:sz w:val="17"/>
        </w:rPr>
        <w:t>request system software add /var/tmp/&lt;QFX5100-21.4R3-S10.13-package&gt;.tgz member &lt;backup-id&gt; reboot</w:t>
      </w:r>
    </w:p>
    <w:p>
      <w:pPr>
        <w:pStyle w:val="ListNumber"/>
        <w:spacing w:after="40"/>
      </w:pPr>
      <w:r>
        <w:t>确认 backup 成员状态为 Prsnt、版本正确、VC 端口与业务链路恢复。观察至少 10 分钟。</w:t>
      </w:r>
    </w:p>
    <w:p>
      <w:pPr>
        <w:pStyle w:val="ListNumber"/>
        <w:spacing w:after="40"/>
      </w:pPr>
      <w:r>
        <w:t>再升级 master 成员，期间按计划进入业务中断窗口。</w:t>
      </w:r>
    </w:p>
    <w:p>
      <w:pPr>
        <w:spacing w:before="40" w:after="40"/>
        <w:ind w:left="360" w:right="144"/>
        <w:shd w:fill="F3F5F7"/>
      </w:pPr>
      <w:r>
        <w:rPr>
          <w:rFonts w:ascii="Consolas" w:hAnsi="Consolas"/>
          <w:sz w:val="17"/>
        </w:rPr>
        <w:t>request system software add /var/tmp/&lt;QFX5100-21.4R3-S10.13-package&gt;.tgz member &lt;master-id&gt; reboot</w:t>
      </w:r>
    </w:p>
    <w:p>
      <w:pPr>
        <w:pStyle w:val="ListNumber"/>
        <w:spacing w:after="40"/>
      </w:pPr>
      <w:r>
        <w:t>两成员恢复后，确认 VC 主备角色、版本、接口、聚合链路和业务全部正常。</w:t>
      </w:r>
    </w:p>
    <w:p>
      <w:r>
        <w:rPr>
          <w:b/>
        </w:rPr>
        <w:t>注意：</w:t>
      </w:r>
      <w:r>
        <w:t>是否添加 no-copy、no-validate、force-host 等参数，必须根据目标版本安装指南和现场存储情况确定，不在本方案中默认启用。</w:t>
      </w:r>
    </w:p>
    <w:p>
      <w:pPr>
        <w:pStyle w:val="Heading2"/>
      </w:pPr>
      <w:r>
        <w:t>6.3 NSSU（仅在兼容性验证通过后使用）</w:t>
      </w:r>
    </w:p>
    <w:p>
      <w:pPr>
        <w:pStyle w:val="ListNumber"/>
        <w:spacing w:after="40"/>
      </w:pPr>
      <w:r>
        <w:t>确认 GRES、NSR、NSB、commit synchronize 已配置并运行正常。</w:t>
      </w:r>
    </w:p>
    <w:p>
      <w:pPr>
        <w:spacing w:before="40" w:after="40"/>
        <w:ind w:left="360" w:right="144"/>
        <w:shd w:fill="F3F5F7"/>
      </w:pPr>
      <w:r>
        <w:rPr>
          <w:rFonts w:ascii="Consolas" w:hAnsi="Consolas"/>
          <w:sz w:val="17"/>
        </w:rPr>
        <w:t>show configuration chassis redundancy</w:t>
        <w:br/>
        <w:t>show configuration routing-options nonstop-routing</w:t>
        <w:br/>
        <w:t>show configuration protocols layer2-control nonstop-bridging</w:t>
        <w:br/>
        <w:t>show configuration system commit synchronize</w:t>
      </w:r>
    </w:p>
    <w:p>
      <w:pPr>
        <w:pStyle w:val="ListNumber"/>
        <w:spacing w:after="40"/>
      </w:pPr>
      <w:r>
        <w:t>确认当前版本到目标版本支持 NSSU，且所有 VC 成员型号、版本和状态满足要求。</w:t>
      </w:r>
    </w:p>
    <w:p>
      <w:pPr>
        <w:pStyle w:val="ListNumber"/>
        <w:spacing w:after="40"/>
      </w:pPr>
      <w:r>
        <w:t>执行 NSSU，并持续监控 VC、LACP、路由邻居与业务探测。</w:t>
      </w:r>
    </w:p>
    <w:p>
      <w:pPr>
        <w:spacing w:before="40" w:after="40"/>
        <w:ind w:left="360" w:right="144"/>
        <w:shd w:fill="F3F5F7"/>
      </w:pPr>
      <w:r>
        <w:rPr>
          <w:rFonts w:ascii="Consolas" w:hAnsi="Consolas"/>
          <w:sz w:val="17"/>
        </w:rPr>
        <w:t>request system software nonstop-upgrade /var/tmp/&lt;package-name&gt;.tgz</w:t>
      </w:r>
    </w:p>
    <w:p>
      <w:pPr>
        <w:pStyle w:val="ListNumber"/>
        <w:spacing w:after="40"/>
      </w:pPr>
      <w:r>
        <w:t>升级完成后确认 Master 角色可能发生切换，不能以升级前后的 Master Member ID 是否一致作为失败判断。</w:t>
      </w:r>
    </w:p>
    <w:p>
      <w:pPr>
        <w:pStyle w:val="Heading2"/>
      </w:pPr>
      <w:r>
        <w:t>6.4 QFX5110 / QFX5120</w:t>
      </w:r>
    </w:p>
    <w:p>
      <w:pPr>
        <w:pStyle w:val="ListNumber"/>
        <w:spacing w:after="40"/>
      </w:pPr>
      <w:r>
        <w:t>按确认后的升级路径逐跳升级，不允许未经验证直接跨越多个主版本。</w:t>
      </w:r>
    </w:p>
    <w:p>
      <w:pPr>
        <w:pStyle w:val="ListNumber"/>
        <w:spacing w:after="40"/>
      </w:pPr>
      <w:r>
        <w:t>每一跳升级后完成版本、配置、接口、路由和业务验证，再进入下一跳。</w:t>
      </w:r>
    </w:p>
    <w:p>
      <w:pPr>
        <w:pStyle w:val="ListNumber"/>
        <w:spacing w:after="40"/>
      </w:pPr>
      <w:r>
        <w:t>两成员 VC 参照“先 backup、后 master”原则；NSSU 仅在该版本组合明确支持时使用。</w:t>
      </w:r>
    </w:p>
    <w:p>
      <w:pPr>
        <w:spacing w:before="40" w:after="40"/>
        <w:ind w:left="360" w:right="144"/>
        <w:shd w:fill="F3F5F7"/>
      </w:pPr>
      <w:r>
        <w:rPr>
          <w:rFonts w:ascii="Consolas" w:hAnsi="Consolas"/>
          <w:sz w:val="17"/>
        </w:rPr>
        <w:t>request system software add /var/tmp/&lt;platform-package&gt;.tgz [member &lt;id&gt;] reboot</w:t>
      </w:r>
    </w:p>
    <w:p>
      <w:pPr>
        <w:pStyle w:val="Heading1"/>
      </w:pPr>
      <w:r>
        <w:t>7. 升级后验证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728"/>
            <w:vAlign w:val="center"/>
            <w:shd w:fill="244A68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检查类别</w:t>
            </w:r>
          </w:p>
        </w:tc>
        <w:tc>
          <w:tcPr>
            <w:tcW w:type="dxa" w:w="4464"/>
            <w:vAlign w:val="center"/>
            <w:shd w:fill="244A68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检查内容</w:t>
            </w:r>
          </w:p>
        </w:tc>
        <w:tc>
          <w:tcPr>
            <w:tcW w:type="dxa" w:w="3456"/>
            <w:vAlign w:val="center"/>
            <w:shd w:fill="244A68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通过标准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版本与VC</w:t>
            </w:r>
          </w:p>
        </w:tc>
        <w:tc>
          <w:tcPr>
            <w:tcW w:type="dxa" w:w="446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版本、成员状态、Master/Backup、VC端口</w:t>
            </w:r>
          </w:p>
        </w:tc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所有成员版本一致，状态 Prsnt，VC端口 Up</w:t>
            </w:r>
          </w:p>
        </w:tc>
      </w:tr>
      <w:tr>
        <w:tc>
          <w:tcPr>
            <w:tcW w:type="dxa" w:w="1728"/>
            <w:vAlign w:val="center"/>
            <w:shd w:fill="F3F5F7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接口与聚合</w:t>
            </w:r>
          </w:p>
        </w:tc>
        <w:tc>
          <w:tcPr>
            <w:tcW w:type="dxa" w:w="4464"/>
            <w:vAlign w:val="center"/>
            <w:shd w:fill="F3F5F7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物理接口、AE、LACP</w:t>
            </w:r>
          </w:p>
        </w:tc>
        <w:tc>
          <w:tcPr>
            <w:tcW w:type="dxa" w:w="3456"/>
            <w:vAlign w:val="center"/>
            <w:shd w:fill="F3F5F7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应Up接口全部恢复，LACP成员 Collecting/Distributing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控制平面</w:t>
            </w:r>
          </w:p>
        </w:tc>
        <w:tc>
          <w:tcPr>
            <w:tcW w:type="dxa" w:w="446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BGP/OSPF/静态路由、ARP/MAC</w:t>
            </w:r>
          </w:p>
        </w:tc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邻居恢复，路由条目与升级前一致</w:t>
            </w:r>
          </w:p>
        </w:tc>
      </w:tr>
      <w:tr>
        <w:tc>
          <w:tcPr>
            <w:tcW w:type="dxa" w:w="1728"/>
            <w:vAlign w:val="center"/>
            <w:shd w:fill="F3F5F7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业务</w:t>
            </w:r>
          </w:p>
        </w:tc>
        <w:tc>
          <w:tcPr>
            <w:tcW w:type="dxa" w:w="4464"/>
            <w:vAlign w:val="center"/>
            <w:shd w:fill="F3F5F7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Ping、应用探测、关键链路流量</w:t>
            </w:r>
          </w:p>
        </w:tc>
        <w:tc>
          <w:tcPr>
            <w:tcW w:type="dxa" w:w="3456"/>
            <w:vAlign w:val="center"/>
            <w:shd w:fill="F3F5F7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连续稳定，无新增丢包和时延异常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设备健康</w:t>
            </w:r>
          </w:p>
        </w:tc>
        <w:tc>
          <w:tcPr>
            <w:tcW w:type="dxa" w:w="446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告警、CPU、内存、日志</w:t>
            </w:r>
          </w:p>
        </w:tc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无新增严重告警，无进程反复崩溃</w:t>
            </w:r>
          </w:p>
        </w:tc>
      </w:tr>
      <w:tr>
        <w:tc>
          <w:tcPr>
            <w:tcW w:type="dxa" w:w="1728"/>
            <w:vAlign w:val="center"/>
            <w:shd w:fill="F3F5F7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配置</w:t>
            </w:r>
          </w:p>
        </w:tc>
        <w:tc>
          <w:tcPr>
            <w:tcW w:type="dxa" w:w="4464"/>
            <w:vAlign w:val="center"/>
            <w:shd w:fill="F3F5F7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配置同步、未提交配置</w:t>
            </w:r>
          </w:p>
        </w:tc>
        <w:tc>
          <w:tcPr>
            <w:tcW w:type="dxa" w:w="3456"/>
            <w:vAlign w:val="center"/>
            <w:shd w:fill="F3F5F7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commit synchronize 正常，无待提交差异</w:t>
            </w:r>
          </w:p>
        </w:tc>
      </w:tr>
    </w:tbl>
    <w:p>
      <w:pPr>
        <w:pStyle w:val="Heading1"/>
      </w:pPr>
      <w:r>
        <w:t>8. 回退方案</w:t>
      </w:r>
    </w:p>
    <w:p>
      <w:r>
        <w:t>满足以下任一条件应停止升级并评估回退：VC 成员无法重新加入、关键接口持续 Down、路由邻居 10 分钟内无法恢复、业务持续中断超过批准阈值、出现严重进程崩溃或配置不兼容。</w:t>
      </w:r>
    </w:p>
    <w:p>
      <w:pPr>
        <w:pStyle w:val="ListNumber"/>
        <w:spacing w:after="40"/>
      </w:pPr>
      <w:r>
        <w:t>立即停止后续成员或下一跳升级。</w:t>
      </w:r>
    </w:p>
    <w:p>
      <w:pPr>
        <w:pStyle w:val="ListNumber"/>
        <w:spacing w:after="40"/>
      </w:pPr>
      <w:r>
        <w:t>通过带外管理确认当前启动分区和可用旧版本。</w:t>
      </w:r>
    </w:p>
    <w:p>
      <w:pPr>
        <w:pStyle w:val="ListNumber"/>
        <w:spacing w:after="40"/>
      </w:pPr>
      <w:r>
        <w:t>优先使用平台支持的 rollback / alternate slice / snapshot 回退机制；具体命令以当前平台安装指南为准。</w:t>
      </w:r>
    </w:p>
    <w:p>
      <w:pPr>
        <w:pStyle w:val="ListNumber"/>
        <w:spacing w:after="40"/>
      </w:pPr>
      <w:r>
        <w:t>如需重装旧软件包，按“先故障成员、后另一成员”顺序恢复，禁止同时重启两个 VC 成员。</w:t>
      </w:r>
    </w:p>
    <w:p>
      <w:pPr>
        <w:pStyle w:val="ListNumber"/>
        <w:spacing w:after="40"/>
      </w:pPr>
      <w:r>
        <w:t>恢复配置、接口、路由和业务后，保留日志并形成问题单。</w:t>
      </w:r>
    </w:p>
    <w:p>
      <w:pPr>
        <w:pStyle w:val="Heading1"/>
      </w:pPr>
      <w:r>
        <w:t>9. 人员与职责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160"/>
            <w:vAlign w:val="center"/>
            <w:shd w:fill="244A68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7200"/>
            <w:vAlign w:val="center"/>
            <w:shd w:fill="244A68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职责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实施人员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执行命令、记录时间点、核对状态、提交结果</w:t>
            </w:r>
          </w:p>
        </w:tc>
      </w:tr>
      <w:tr>
        <w:tc>
          <w:tcPr>
            <w:tcW w:type="dxa" w:w="2160"/>
            <w:vAlign w:val="center"/>
            <w:shd w:fill="F3F5F7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复核人员</w:t>
            </w:r>
          </w:p>
        </w:tc>
        <w:tc>
          <w:tcPr>
            <w:tcW w:type="dxa" w:w="7200"/>
            <w:vAlign w:val="center"/>
            <w:shd w:fill="F3F5F7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双人复核设备、版本、Member ID、命令和回退条件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业务验证人员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升级前后执行应用与链路验证</w:t>
            </w:r>
          </w:p>
        </w:tc>
      </w:tr>
      <w:tr>
        <w:tc>
          <w:tcPr>
            <w:tcW w:type="dxa" w:w="2160"/>
            <w:vAlign w:val="center"/>
            <w:shd w:fill="F3F5F7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协调人员</w:t>
            </w:r>
          </w:p>
        </w:tc>
        <w:tc>
          <w:tcPr>
            <w:tcW w:type="dxa" w:w="7200"/>
            <w:vAlign w:val="center"/>
            <w:shd w:fill="F3F5F7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维护窗口通知、变更审批、故障升级和决策</w:t>
            </w:r>
          </w:p>
        </w:tc>
      </w:tr>
    </w:tbl>
    <w:p>
      <w:pPr>
        <w:pStyle w:val="Heading1"/>
      </w:pPr>
      <w:r>
        <w:t>10. 实施记录模板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vAlign w:val="center"/>
            <w:shd w:fill="244A68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6480"/>
            <w:vAlign w:val="center"/>
            <w:shd w:fill="244A68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记录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设备名称 / IP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</w:r>
          </w:p>
        </w:tc>
      </w:tr>
      <w:tr>
        <w:tc>
          <w:tcPr>
            <w:tcW w:type="dxa" w:w="2880"/>
            <w:vAlign w:val="center"/>
            <w:shd w:fill="F3F5F7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型号 / 序列号</w:t>
            </w:r>
          </w:p>
        </w:tc>
        <w:tc>
          <w:tcPr>
            <w:tcW w:type="dxa" w:w="6480"/>
            <w:vAlign w:val="center"/>
            <w:shd w:fill="F3F5F7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当前版本 / 目标版本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</w:r>
          </w:p>
        </w:tc>
      </w:tr>
      <w:tr>
        <w:tc>
          <w:tcPr>
            <w:tcW w:type="dxa" w:w="2880"/>
            <w:vAlign w:val="center"/>
            <w:shd w:fill="F3F5F7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VC Member / 角色</w:t>
            </w:r>
          </w:p>
        </w:tc>
        <w:tc>
          <w:tcPr>
            <w:tcW w:type="dxa" w:w="6480"/>
            <w:vAlign w:val="center"/>
            <w:shd w:fill="F3F5F7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开始时间 / 完成时间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</w:r>
          </w:p>
        </w:tc>
      </w:tr>
      <w:tr>
        <w:tc>
          <w:tcPr>
            <w:tcW w:type="dxa" w:w="2880"/>
            <w:vAlign w:val="center"/>
            <w:shd w:fill="F3F5F7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业务中断时间</w:t>
            </w:r>
          </w:p>
        </w:tc>
        <w:tc>
          <w:tcPr>
            <w:tcW w:type="dxa" w:w="6480"/>
            <w:vAlign w:val="center"/>
            <w:shd w:fill="F3F5F7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升级结果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成功 / 回退 / 待观察</w:t>
            </w:r>
          </w:p>
        </w:tc>
      </w:tr>
      <w:tr>
        <w:tc>
          <w:tcPr>
            <w:tcW w:type="dxa" w:w="2880"/>
            <w:vAlign w:val="center"/>
            <w:shd w:fill="F3F5F7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异常与处理</w:t>
            </w:r>
          </w:p>
        </w:tc>
        <w:tc>
          <w:tcPr>
            <w:tcW w:type="dxa" w:w="6480"/>
            <w:vAlign w:val="center"/>
            <w:shd w:fill="F3F5F7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</w:r>
          </w:p>
        </w:tc>
      </w:tr>
    </w:tbl>
    <w:p>
      <w:pPr>
        <w:pStyle w:val="Heading1"/>
      </w:pPr>
      <w:r>
        <w:t>11. 参考依据</w:t>
      </w:r>
    </w:p>
    <w:p>
      <w:pPr>
        <w:pStyle w:val="ListBullet"/>
        <w:spacing w:after="40"/>
      </w:pPr>
      <w:r>
        <w:t>《QFX5100 交换机 VC 升级实验》，2021-02-23：普通升级实验与 NSSU 实验。</w:t>
      </w:r>
    </w:p>
    <w:p>
      <w:pPr>
        <w:pStyle w:val="ListBullet"/>
        <w:spacing w:after="40"/>
      </w:pPr>
      <w:r>
        <w:t>Juniper 官方：Understanding / Upgrading Software on a Virtual Chassis Using NSSU。</w:t>
      </w:r>
    </w:p>
    <w:p>
      <w:pPr>
        <w:pStyle w:val="ListBullet"/>
        <w:spacing w:after="40"/>
      </w:pPr>
      <w:r>
        <w:t>Juniper 官方：QFX 系列对应目标版本 Release Notes 与 Software Installation and Upgrade Guide。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Juniper QFX51 在线设备升级实施方案（内部使用）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