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F2B55" w14:textId="77777777" w:rsidR="0044206F" w:rsidRDefault="00B818CD">
      <w:pPr>
        <w:spacing w:before="120" w:after="50"/>
      </w:pPr>
      <w:r>
        <w:rPr>
          <w:b/>
          <w:bCs/>
          <w:color w:val="C7000B"/>
          <w:sz w:val="24"/>
          <w:szCs w:val="24"/>
        </w:rPr>
        <w:t>Huawei Tech Arena 2026</w:t>
      </w:r>
    </w:p>
    <w:p w14:paraId="1B7DD8AC" w14:textId="7535D7B7" w:rsidR="00CC70A4" w:rsidRPr="00CC70A4" w:rsidRDefault="00CC70A4" w:rsidP="00CC70A4">
      <w:pPr>
        <w:spacing w:after="200"/>
        <w:rPr>
          <w:b/>
          <w:bCs/>
          <w:color w:val="16181D"/>
          <w:sz w:val="36"/>
          <w:szCs w:val="36"/>
        </w:rPr>
      </w:pPr>
      <w:r w:rsidRPr="00D9541D">
        <w:rPr>
          <w:b/>
          <w:bCs/>
          <w:color w:val="16181D"/>
          <w:sz w:val="28"/>
          <w:szCs w:val="28"/>
        </w:rPr>
        <w:t xml:space="preserve">AIDC Power Supply Resilience — </w:t>
      </w:r>
      <w:r w:rsidR="00D9541D" w:rsidRPr="00D9541D">
        <w:rPr>
          <w:b/>
          <w:bCs/>
          <w:color w:val="16181D"/>
          <w:sz w:val="28"/>
          <w:szCs w:val="28"/>
        </w:rPr>
        <w:t>Hierarchical Prediction of Power Continuity Risk</w:t>
      </w:r>
      <w:r w:rsidRPr="00D9541D">
        <w:rPr>
          <w:b/>
          <w:bCs/>
          <w:color w:val="16181D"/>
          <w:sz w:val="32"/>
          <w:szCs w:val="32"/>
        </w:rPr>
        <w:br/>
      </w:r>
      <w:r w:rsidR="00265AE2" w:rsidRPr="00265AE2">
        <w:rPr>
          <w:rFonts w:hint="eastAsia"/>
          <w:i/>
          <w:iCs/>
          <w:color w:val="6B7280"/>
          <w:sz w:val="22"/>
          <w:szCs w:val="22"/>
        </w:rPr>
        <w:t>Resilience Prediction of AIDC Power Supply under Extreme Scenario</w:t>
      </w:r>
    </w:p>
    <w:p w14:paraId="29AB2F5F" w14:textId="77777777" w:rsidR="00624EDF" w:rsidRDefault="00624EDF" w:rsidP="005C05FE"/>
    <w:p w14:paraId="13D26BE3" w14:textId="76DA3BEE" w:rsidR="0044206F" w:rsidRDefault="00143DB2">
      <w:pPr>
        <w:pStyle w:val="1"/>
      </w:pPr>
      <w:r w:rsidRPr="00143DB2">
        <w:t>Datasets</w:t>
      </w:r>
    </w:p>
    <w:p w14:paraId="008D7559" w14:textId="77777777" w:rsidR="00143DB2" w:rsidRPr="00143DB2" w:rsidRDefault="00143DB2" w:rsidP="005C05FE">
      <w:pPr>
        <w:numPr>
          <w:ilvl w:val="0"/>
          <w:numId w:val="3"/>
        </w:numPr>
        <w:ind w:leftChars="100" w:left="557" w:hanging="357"/>
        <w:rPr>
          <w:rFonts w:eastAsia="宋体"/>
          <w:sz w:val="24"/>
          <w:szCs w:val="24"/>
        </w:rPr>
      </w:pPr>
      <w:r w:rsidRPr="00143DB2">
        <w:rPr>
          <w:rFonts w:eastAsia="+mn-ea"/>
          <w:b/>
          <w:bCs/>
          <w:color w:val="1D1D1A"/>
          <w:kern w:val="24"/>
          <w:sz w:val="24"/>
          <w:szCs w:val="24"/>
        </w:rPr>
        <w:t xml:space="preserve">Outage Data. </w:t>
      </w:r>
      <w:proofErr w:type="spellStart"/>
      <w:r w:rsidRPr="00143DB2">
        <w:rPr>
          <w:rFonts w:eastAsia="+mn-ea"/>
          <w:color w:val="1D1D1A"/>
          <w:kern w:val="24"/>
          <w:sz w:val="24"/>
          <w:szCs w:val="24"/>
        </w:rPr>
        <w:t>NaFIRS</w:t>
      </w:r>
      <w:proofErr w:type="spellEnd"/>
      <w:r w:rsidRPr="00143DB2">
        <w:rPr>
          <w:rFonts w:eastAsia="+mn-ea"/>
          <w:color w:val="1D1D1A"/>
          <w:kern w:val="24"/>
          <w:sz w:val="24"/>
          <w:szCs w:val="24"/>
        </w:rPr>
        <w:t xml:space="preserve"> LV Faults serves as the primary source, organized at the distribution-district level and covering central-southern England and northern Scotland. Eagle-I, which records outage data within the United States, is provided as an optional reference.</w:t>
      </w:r>
    </w:p>
    <w:p w14:paraId="4DDB8A95" w14:textId="77777777" w:rsidR="00143DB2" w:rsidRPr="00143DB2" w:rsidRDefault="00143DB2" w:rsidP="005C05FE">
      <w:pPr>
        <w:numPr>
          <w:ilvl w:val="0"/>
          <w:numId w:val="3"/>
        </w:numPr>
        <w:ind w:leftChars="100" w:left="557" w:hanging="357"/>
        <w:rPr>
          <w:rFonts w:eastAsia="宋体"/>
          <w:sz w:val="24"/>
          <w:szCs w:val="24"/>
        </w:rPr>
      </w:pPr>
      <w:r w:rsidRPr="00143DB2">
        <w:rPr>
          <w:rFonts w:eastAsia="+mn-ea"/>
          <w:b/>
          <w:bCs/>
          <w:color w:val="1D1D1A"/>
          <w:kern w:val="24"/>
          <w:sz w:val="24"/>
          <w:szCs w:val="24"/>
        </w:rPr>
        <w:t>Weather Data.</w:t>
      </w:r>
      <w:r w:rsidRPr="00143DB2">
        <w:rPr>
          <w:rFonts w:eastAsia="+mn-ea"/>
          <w:color w:val="1D1D1A"/>
          <w:kern w:val="24"/>
          <w:sz w:val="24"/>
          <w:szCs w:val="24"/>
        </w:rPr>
        <w:t xml:space="preserve"> Open-</w:t>
      </w:r>
      <w:proofErr w:type="spellStart"/>
      <w:r w:rsidRPr="00143DB2">
        <w:rPr>
          <w:rFonts w:eastAsia="+mn-ea"/>
          <w:color w:val="1D1D1A"/>
          <w:kern w:val="24"/>
          <w:sz w:val="24"/>
          <w:szCs w:val="24"/>
        </w:rPr>
        <w:t>Meteo</w:t>
      </w:r>
      <w:proofErr w:type="spellEnd"/>
      <w:r w:rsidRPr="00143DB2">
        <w:rPr>
          <w:rFonts w:eastAsia="+mn-ea"/>
          <w:color w:val="1D1D1A"/>
          <w:kern w:val="24"/>
          <w:sz w:val="24"/>
          <w:szCs w:val="24"/>
        </w:rPr>
        <w:t xml:space="preserve"> is the recommended source. Participants are responsible for determining the selection of one or multiple geographic coordinates, with spatial granularity defined as a circular region of three to nine </w:t>
      </w:r>
      <w:proofErr w:type="spellStart"/>
      <w:r w:rsidRPr="00143DB2">
        <w:rPr>
          <w:rFonts w:eastAsia="+mn-ea"/>
          <w:color w:val="1D1D1A"/>
          <w:kern w:val="24"/>
          <w:sz w:val="24"/>
          <w:szCs w:val="24"/>
        </w:rPr>
        <w:t>kilometres</w:t>
      </w:r>
      <w:proofErr w:type="spellEnd"/>
      <w:r w:rsidRPr="00143DB2">
        <w:rPr>
          <w:rFonts w:eastAsia="+mn-ea"/>
          <w:color w:val="1D1D1A"/>
          <w:kern w:val="24"/>
          <w:sz w:val="24"/>
          <w:szCs w:val="24"/>
        </w:rPr>
        <w:t xml:space="preserve"> in radius </w:t>
      </w:r>
      <w:proofErr w:type="spellStart"/>
      <w:r w:rsidRPr="00143DB2">
        <w:rPr>
          <w:rFonts w:eastAsia="+mn-ea"/>
          <w:color w:val="1D1D1A"/>
          <w:kern w:val="24"/>
          <w:sz w:val="24"/>
          <w:szCs w:val="24"/>
        </w:rPr>
        <w:t>centred</w:t>
      </w:r>
      <w:proofErr w:type="spellEnd"/>
      <w:r w:rsidRPr="00143DB2">
        <w:rPr>
          <w:rFonts w:eastAsia="+mn-ea"/>
          <w:color w:val="1D1D1A"/>
          <w:kern w:val="24"/>
          <w:sz w:val="24"/>
          <w:szCs w:val="24"/>
        </w:rPr>
        <w:t xml:space="preserve"> on each chosen coordinate.</w:t>
      </w:r>
    </w:p>
    <w:p w14:paraId="75DD3898" w14:textId="0000F1F0" w:rsidR="00070667" w:rsidRPr="00070667" w:rsidRDefault="00070667" w:rsidP="00070667">
      <w:pPr>
        <w:numPr>
          <w:ilvl w:val="0"/>
          <w:numId w:val="3"/>
        </w:numPr>
        <w:ind w:leftChars="100" w:left="557" w:hanging="357"/>
        <w:rPr>
          <w:rFonts w:eastAsia="宋体" w:hint="eastAsia"/>
          <w:sz w:val="24"/>
          <w:szCs w:val="24"/>
        </w:rPr>
      </w:pPr>
      <w:r w:rsidRPr="00070667">
        <w:rPr>
          <w:rFonts w:eastAsia="+mn-ea"/>
          <w:b/>
          <w:bCs/>
          <w:color w:val="1D1D1A"/>
          <w:kern w:val="24"/>
          <w:sz w:val="24"/>
          <w:szCs w:val="24"/>
        </w:rPr>
        <w:t xml:space="preserve">Site Power-Supply Architecture Topologies and Configuration Parameters. </w:t>
      </w:r>
      <w:r w:rsidRPr="00070667">
        <w:rPr>
          <w:rFonts w:eastAsia="+mn-ea"/>
          <w:bCs/>
          <w:color w:val="1D1D1A"/>
          <w:kern w:val="24"/>
          <w:sz w:val="24"/>
          <w:szCs w:val="24"/>
        </w:rPr>
        <w:t>The organizing committee will provide four reference power-supply topologies, as shown in Fig. 1. Participants may model different configurations under each topology. During testing, the topology type and corresponding configuration parameters will be provided as model inputs.</w:t>
      </w:r>
    </w:p>
    <w:p w14:paraId="5D4D2A31" w14:textId="77777777" w:rsidR="00143DB2" w:rsidRPr="00143DB2" w:rsidRDefault="00143DB2" w:rsidP="005C05FE">
      <w:pPr>
        <w:numPr>
          <w:ilvl w:val="0"/>
          <w:numId w:val="3"/>
        </w:numPr>
        <w:ind w:leftChars="100" w:left="557" w:hanging="357"/>
        <w:rPr>
          <w:rFonts w:eastAsia="宋体"/>
          <w:sz w:val="24"/>
          <w:szCs w:val="24"/>
        </w:rPr>
      </w:pPr>
      <w:r w:rsidRPr="00143DB2">
        <w:rPr>
          <w:rFonts w:eastAsia="+mn-ea"/>
          <w:b/>
          <w:bCs/>
          <w:color w:val="1D1D1A"/>
          <w:kern w:val="24"/>
          <w:sz w:val="24"/>
          <w:szCs w:val="24"/>
        </w:rPr>
        <w:t>Power Infrastructure (Optional).</w:t>
      </w:r>
      <w:r w:rsidRPr="00143DB2">
        <w:rPr>
          <w:rFonts w:eastAsia="+mn-ea"/>
          <w:color w:val="1D1D1A"/>
          <w:kern w:val="24"/>
          <w:sz w:val="24"/>
          <w:szCs w:val="24"/>
        </w:rPr>
        <w:t xml:space="preserve"> OpenStreetMap via the Overpass API. Participants may at their discretion select substations, transmission lines, and utility poles to construct an infrastructure topology.</w:t>
      </w:r>
    </w:p>
    <w:p w14:paraId="74588552" w14:textId="5CECCB6A" w:rsidR="00143DB2" w:rsidRPr="00070667" w:rsidRDefault="00143DB2" w:rsidP="005C05FE">
      <w:pPr>
        <w:numPr>
          <w:ilvl w:val="0"/>
          <w:numId w:val="3"/>
        </w:numPr>
        <w:ind w:leftChars="100" w:left="557" w:hanging="357"/>
        <w:rPr>
          <w:rFonts w:eastAsia="宋体"/>
          <w:sz w:val="24"/>
          <w:szCs w:val="24"/>
        </w:rPr>
      </w:pPr>
      <w:r w:rsidRPr="00143DB2">
        <w:rPr>
          <w:rFonts w:eastAsia="+mn-ea"/>
          <w:b/>
          <w:bCs/>
          <w:color w:val="1D1D1A"/>
          <w:kern w:val="24"/>
          <w:sz w:val="24"/>
          <w:szCs w:val="24"/>
        </w:rPr>
        <w:t>Extreme Weather Events (Optional).</w:t>
      </w:r>
      <w:r w:rsidRPr="00143DB2">
        <w:rPr>
          <w:rFonts w:eastAsia="+mn-ea"/>
          <w:color w:val="1D1D1A"/>
          <w:kern w:val="24"/>
          <w:sz w:val="24"/>
          <w:szCs w:val="24"/>
        </w:rPr>
        <w:t xml:space="preserve"> NOAA Storm Events Database </w:t>
      </w:r>
      <w:bookmarkStart w:id="0" w:name="_GoBack"/>
      <w:bookmarkEnd w:id="0"/>
      <w:r w:rsidRPr="00143DB2">
        <w:rPr>
          <w:rFonts w:eastAsia="+mn-ea"/>
          <w:color w:val="1D1D1A"/>
          <w:kern w:val="24"/>
          <w:sz w:val="24"/>
          <w:szCs w:val="24"/>
        </w:rPr>
        <w:t>(</w:t>
      </w:r>
      <w:hyperlink r:id="rId8" w:history="1">
        <w:r w:rsidR="00986DB4" w:rsidRPr="00143DB2">
          <w:rPr>
            <w:rFonts w:eastAsia="+mn-ea"/>
            <w:color w:val="1D1D1A"/>
            <w:kern w:val="24"/>
            <w:sz w:val="24"/>
            <w:szCs w:val="24"/>
            <w:u w:val="single"/>
          </w:rPr>
          <w:t>https://www.ncei.noaa.gov/stormevents/</w:t>
        </w:r>
      </w:hyperlink>
      <w:r w:rsidRPr="00143DB2">
        <w:rPr>
          <w:rFonts w:eastAsia="+mn-ea"/>
          <w:color w:val="1D1D1A"/>
          <w:kern w:val="24"/>
          <w:sz w:val="24"/>
          <w:szCs w:val="24"/>
        </w:rPr>
        <w:t>).</w:t>
      </w:r>
    </w:p>
    <w:p w14:paraId="03448C5C" w14:textId="77777777" w:rsidR="00070667" w:rsidRPr="00143DB2" w:rsidRDefault="00070667" w:rsidP="00070667">
      <w:pPr>
        <w:ind w:left="557"/>
        <w:rPr>
          <w:rFonts w:eastAsia="宋体"/>
          <w:sz w:val="24"/>
          <w:szCs w:val="24"/>
        </w:rPr>
      </w:pPr>
    </w:p>
    <w:p w14:paraId="1E29154E" w14:textId="3B62B3F6" w:rsidR="0044206F" w:rsidRDefault="005C05FE">
      <w:pPr>
        <w:spacing w:after="110" w:line="278" w:lineRule="auto"/>
      </w:pPr>
      <w:r>
        <w:rPr>
          <w:noProof/>
        </w:rPr>
        <w:drawing>
          <wp:inline distT="0" distB="0" distL="0" distR="0" wp14:anchorId="07BC0FBC" wp14:editId="0CA8ACEC">
            <wp:extent cx="6362343" cy="216317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6941" cy="216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AEEB" w14:textId="55D8B052" w:rsidR="005C05FE" w:rsidRDefault="005C05FE" w:rsidP="005C05FE">
      <w:pPr>
        <w:spacing w:after="110" w:line="278" w:lineRule="auto"/>
        <w:jc w:val="center"/>
      </w:pPr>
      <w:r>
        <w:rPr>
          <w:rFonts w:eastAsia="+mn-ea"/>
          <w:b/>
          <w:bCs/>
          <w:color w:val="1D1D1A"/>
          <w:kern w:val="24"/>
          <w:sz w:val="24"/>
          <w:szCs w:val="24"/>
        </w:rPr>
        <w:t xml:space="preserve">Fig.1 </w:t>
      </w:r>
      <w:r w:rsidR="00143DB2" w:rsidRPr="00143DB2">
        <w:rPr>
          <w:rFonts w:eastAsia="+mn-ea"/>
          <w:b/>
          <w:bCs/>
          <w:color w:val="1D1D1A"/>
          <w:kern w:val="24"/>
          <w:sz w:val="24"/>
          <w:szCs w:val="24"/>
        </w:rPr>
        <w:t>Site Power-Supply Architecture Configuration</w:t>
      </w:r>
      <w:r>
        <w:rPr>
          <w:rFonts w:asciiTheme="minorEastAsia" w:hAnsiTheme="minorEastAsia" w:hint="eastAsia"/>
          <w:b/>
          <w:bCs/>
          <w:color w:val="1D1D1A"/>
          <w:kern w:val="24"/>
          <w:sz w:val="24"/>
          <w:szCs w:val="24"/>
        </w:rPr>
        <w:t>s</w:t>
      </w:r>
    </w:p>
    <w:sectPr w:rsidR="005C05FE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2E2F5" w14:textId="77777777" w:rsidR="0098439B" w:rsidRDefault="0098439B" w:rsidP="00414B08">
      <w:r>
        <w:separator/>
      </w:r>
    </w:p>
  </w:endnote>
  <w:endnote w:type="continuationSeparator" w:id="0">
    <w:p w14:paraId="3836E4B1" w14:textId="77777777" w:rsidR="0098439B" w:rsidRDefault="0098439B" w:rsidP="00414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BA1F5" w14:textId="77777777" w:rsidR="0098439B" w:rsidRDefault="0098439B" w:rsidP="00414B08">
      <w:r>
        <w:separator/>
      </w:r>
    </w:p>
  </w:footnote>
  <w:footnote w:type="continuationSeparator" w:id="0">
    <w:p w14:paraId="157C2A8D" w14:textId="77777777" w:rsidR="0098439B" w:rsidRDefault="0098439B" w:rsidP="00414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632D3D"/>
    <w:multiLevelType w:val="hybridMultilevel"/>
    <w:tmpl w:val="6EAA0C0C"/>
    <w:lvl w:ilvl="0" w:tplc="A624214E">
      <w:start w:val="1"/>
      <w:numFmt w:val="bullet"/>
      <w:lvlText w:val="●"/>
      <w:lvlJc w:val="left"/>
      <w:pPr>
        <w:ind w:left="720" w:hanging="360"/>
      </w:pPr>
    </w:lvl>
    <w:lvl w:ilvl="1" w:tplc="1A8A6F02">
      <w:start w:val="1"/>
      <w:numFmt w:val="bullet"/>
      <w:lvlText w:val="○"/>
      <w:lvlJc w:val="left"/>
      <w:pPr>
        <w:ind w:left="1440" w:hanging="360"/>
      </w:pPr>
    </w:lvl>
    <w:lvl w:ilvl="2" w:tplc="0E42538A">
      <w:start w:val="1"/>
      <w:numFmt w:val="bullet"/>
      <w:lvlText w:val="■"/>
      <w:lvlJc w:val="left"/>
      <w:pPr>
        <w:ind w:left="2160" w:hanging="360"/>
      </w:pPr>
    </w:lvl>
    <w:lvl w:ilvl="3" w:tplc="4A9823F6">
      <w:start w:val="1"/>
      <w:numFmt w:val="bullet"/>
      <w:lvlText w:val="●"/>
      <w:lvlJc w:val="left"/>
      <w:pPr>
        <w:ind w:left="2880" w:hanging="360"/>
      </w:pPr>
    </w:lvl>
    <w:lvl w:ilvl="4" w:tplc="0D58334A">
      <w:start w:val="1"/>
      <w:numFmt w:val="bullet"/>
      <w:lvlText w:val="○"/>
      <w:lvlJc w:val="left"/>
      <w:pPr>
        <w:ind w:left="3600" w:hanging="360"/>
      </w:pPr>
    </w:lvl>
    <w:lvl w:ilvl="5" w:tplc="21B451FA">
      <w:start w:val="1"/>
      <w:numFmt w:val="bullet"/>
      <w:lvlText w:val="■"/>
      <w:lvlJc w:val="left"/>
      <w:pPr>
        <w:ind w:left="4320" w:hanging="360"/>
      </w:pPr>
    </w:lvl>
    <w:lvl w:ilvl="6" w:tplc="4F1AE8B4">
      <w:start w:val="1"/>
      <w:numFmt w:val="bullet"/>
      <w:lvlText w:val="●"/>
      <w:lvlJc w:val="left"/>
      <w:pPr>
        <w:ind w:left="5040" w:hanging="360"/>
      </w:pPr>
    </w:lvl>
    <w:lvl w:ilvl="7" w:tplc="C7FC9E62">
      <w:start w:val="1"/>
      <w:numFmt w:val="bullet"/>
      <w:lvlText w:val="●"/>
      <w:lvlJc w:val="left"/>
      <w:pPr>
        <w:ind w:left="5760" w:hanging="360"/>
      </w:pPr>
    </w:lvl>
    <w:lvl w:ilvl="8" w:tplc="AEAA3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6A2D08"/>
    <w:multiLevelType w:val="hybridMultilevel"/>
    <w:tmpl w:val="AE740E0A"/>
    <w:lvl w:ilvl="0" w:tplc="12F8130E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6B60D4DC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9774E438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E91ECBEA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6D6E7558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2A161B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E13C40B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EA08D972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8B4C4BD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21DFA"/>
    <w:multiLevelType w:val="hybridMultilevel"/>
    <w:tmpl w:val="6C32430A"/>
    <w:lvl w:ilvl="0" w:tplc="5E50A484">
      <w:start w:val="1"/>
      <w:numFmt w:val="bullet"/>
      <w:lvlText w:val="•"/>
      <w:lvlJc w:val="left"/>
      <w:pPr>
        <w:ind w:left="600" w:hanging="300"/>
      </w:pPr>
    </w:lvl>
    <w:lvl w:ilvl="1" w:tplc="F7AC028A">
      <w:numFmt w:val="decimal"/>
      <w:lvlText w:val=""/>
      <w:lvlJc w:val="left"/>
    </w:lvl>
    <w:lvl w:ilvl="2" w:tplc="E3B417C4">
      <w:numFmt w:val="decimal"/>
      <w:lvlText w:val=""/>
      <w:lvlJc w:val="left"/>
    </w:lvl>
    <w:lvl w:ilvl="3" w:tplc="3E1E7A64">
      <w:numFmt w:val="decimal"/>
      <w:lvlText w:val=""/>
      <w:lvlJc w:val="left"/>
    </w:lvl>
    <w:lvl w:ilvl="4" w:tplc="E61EA7D2">
      <w:numFmt w:val="decimal"/>
      <w:lvlText w:val=""/>
      <w:lvlJc w:val="left"/>
    </w:lvl>
    <w:lvl w:ilvl="5" w:tplc="B93CAB0A">
      <w:numFmt w:val="decimal"/>
      <w:lvlText w:val=""/>
      <w:lvlJc w:val="left"/>
    </w:lvl>
    <w:lvl w:ilvl="6" w:tplc="2A3A5278">
      <w:numFmt w:val="decimal"/>
      <w:lvlText w:val=""/>
      <w:lvlJc w:val="left"/>
    </w:lvl>
    <w:lvl w:ilvl="7" w:tplc="17DC9BAA">
      <w:numFmt w:val="decimal"/>
      <w:lvlText w:val=""/>
      <w:lvlJc w:val="left"/>
    </w:lvl>
    <w:lvl w:ilvl="8" w:tplc="4A12E3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06F"/>
    <w:rsid w:val="00070667"/>
    <w:rsid w:val="000B2DC4"/>
    <w:rsid w:val="00143DB2"/>
    <w:rsid w:val="001A62AD"/>
    <w:rsid w:val="00265AE2"/>
    <w:rsid w:val="00414B08"/>
    <w:rsid w:val="0044206F"/>
    <w:rsid w:val="0046050E"/>
    <w:rsid w:val="004A380B"/>
    <w:rsid w:val="005C05FE"/>
    <w:rsid w:val="00624EDF"/>
    <w:rsid w:val="00650942"/>
    <w:rsid w:val="00735961"/>
    <w:rsid w:val="007F2E8D"/>
    <w:rsid w:val="0098439B"/>
    <w:rsid w:val="00986DB4"/>
    <w:rsid w:val="00B818CD"/>
    <w:rsid w:val="00C26FED"/>
    <w:rsid w:val="00CA7568"/>
    <w:rsid w:val="00CC70A4"/>
    <w:rsid w:val="00D91932"/>
    <w:rsid w:val="00D9541D"/>
    <w:rsid w:val="00DE775D"/>
    <w:rsid w:val="00E00602"/>
    <w:rsid w:val="00E4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BEF92"/>
  <w15:docId w15:val="{47F36624-F132-4B64-8F90-60027C59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C7000B"/>
      <w:sz w:val="27"/>
      <w:szCs w:val="27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B818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a"/>
    <w:rsid w:val="00D954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14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414B08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414B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414B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4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1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6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0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38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7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2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99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6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2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5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7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3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ei.noaa.gov/stormeven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15E0E-3C9F-42A6-97CD-58F7EA43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TechArena 2026 — Topic Description</vt:lpstr>
    </vt:vector>
  </TitlesOfParts>
  <Company>Huawei Technologies Co., Ltd.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TechArena 2026 — Topic Description</dc:title>
  <dc:creator>Huawei Digital Power — Battery Intelligence</dc:creator>
  <cp:lastModifiedBy>caowenyuan</cp:lastModifiedBy>
  <cp:revision>3</cp:revision>
  <dcterms:created xsi:type="dcterms:W3CDTF">2026-07-31T02:35:00Z</dcterms:created>
  <dcterms:modified xsi:type="dcterms:W3CDTF">2026-07-31T02:39:00Z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1784774728</vt:lpwstr>
  </property>
</Properties>
</file>