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Submission Guidelines — Phase 1</w:t>
      </w:r>
    </w:p>
    <w:p>
      <w:pPr>
        <w:spacing w:after="320"/>
      </w:pPr>
      <w:r>
        <w:rPr>
          <w:rFonts w:ascii="Calibri" w:cs="Calibri" w:eastAsia="Calibri" w:hAnsi="Calibri"/>
          <w:i/>
          <w:iCs/>
          <w:color w:val="555555"/>
          <w:sz w:val="24"/>
          <w:szCs w:val="24"/>
        </w:rPr>
        <w:t xml:space="preserve">AI Data Center Power-Supply Risk Forecasting Challenge</w:t>
      </w:r>
    </w:p>
    <w:p>
      <w:pPr>
        <w:spacing w:after="160"/>
      </w:pPr>
      <w:r>
        <w:rPr>
          <w:rFonts w:ascii="Calibri" w:cs="Calibri" w:eastAsia="Calibri" w:hAnsi="Calibri"/>
        </w:rPr>
        <w:t xml:space="preserve">Scope: These guidelines apply to Phase 1 only, which asks teams to predict the outage ratio x = customers_out / total_customers. Phase 1 is deliberately scoped to weather-driven prediction of x alone, independent of any specific AI data center site or supply architecture: the dataset mapping AI data center sites to counties and to their supply-architecture type (the "data center topology dataset") has not yet been finalized. The architecture coupling and the choice of sigmoid parameters (k, x0) are therefore deferred to Phase 2, whose submission format will be published once the topology dataset is available and its scoring design is finalized.</w:t>
      </w:r>
    </w:p>
    <w:p>
      <w:pPr>
        <w:spacing w:after="160"/>
      </w:pPr>
      <w:r>
        <w:rPr>
          <w:rFonts w:ascii="Calibri" w:cs="Calibri" w:eastAsia="Calibri" w:hAnsi="Calibri"/>
        </w:rPr>
        <w:t xml:space="preserve">Task A (Day-Ahead, 48 hours ahead, 1-hour resolution) and Task B (Hours-Ahead, 6 hours ahead, 15-minute resolution) share the same submission format, distinguished by the task_id field in the CSV.</w:t>
      </w:r>
    </w:p>
    <w:p>
      <w:pPr>
        <w:pBdr>
          <w:left w:val="single" w:color="888888" w:sz="12" w:space="8"/>
        </w:pBdr>
        <w:spacing w:after="200" w:before="80"/>
        <w:ind w:left="200"/>
      </w:pPr>
      <w:r>
        <w:rPr>
          <w:rFonts w:ascii="Calibri" w:cs="Calibri" w:eastAsia="Calibri" w:hAnsi="Calibri"/>
          <w:b/>
          <w:bCs/>
        </w:rPr>
        <w:t xml:space="preserve">Note: </w:t>
      </w:r>
      <w:r>
        <w:rPr>
          <w:rFonts w:ascii="Calibri" w:cs="Calibri" w:eastAsia="Calibri" w:hAnsi="Calibri"/>
          <w:i/>
          <w:iCs/>
        </w:rPr>
        <w:t xml:space="preserve">Task B's resolution is 15 minutes, matching the native recording granularity of the EAGLE-I outage dataset used as ground truth. This avoids introducing interpolated/fabricated ground-truth values at a finer resolution than the source data actually supports.</w:t>
      </w:r>
    </w:p>
    <w:p>
      <w:pPr>
        <w:pStyle w:val="Heading1"/>
        <w:spacing w:after="160" w:before="320"/>
      </w:pPr>
      <w:r>
        <w:t xml:space="preserve">1. Required Submission Components</w:t>
      </w:r>
    </w:p>
    <w:p>
      <w:pPr>
        <w:spacing w:after="160"/>
      </w:pPr>
      <w:r>
        <w:rPr>
          <w:rFonts w:ascii="Calibri" w:cs="Calibri" w:eastAsia="Calibri" w:hAnsi="Calibri"/>
        </w:rPr>
        <w:t xml:space="preserve">Each team must submit all three of the following. Submissions missing any component will not be scored.</w:t>
      </w:r>
    </w:p>
    <w:p>
      <w:pPr>
        <w:pStyle w:val="ListParagraph"/>
        <w:numPr>
          <w:ilvl w:val="0"/>
          <w:numId w:val="2"/>
        </w:numPr>
        <w:spacing w:after="80"/>
      </w:pPr>
      <w:r>
        <w:rPr>
          <w:rFonts w:ascii="Calibri" w:cs="Calibri" w:eastAsia="Calibri" w:hAnsi="Calibri"/>
        </w:rPr>
        <w:t xml:space="preserve">Technical Report (3–8 pages)</w:t>
      </w:r>
    </w:p>
    <w:p>
      <w:pPr>
        <w:pStyle w:val="ListParagraph"/>
        <w:numPr>
          <w:ilvl w:val="0"/>
          <w:numId w:val="2"/>
        </w:numPr>
        <w:spacing w:after="80"/>
      </w:pPr>
      <w:r>
        <w:rPr>
          <w:rFonts w:ascii="Calibri" w:cs="Calibri" w:eastAsia="Calibri" w:hAnsi="Calibri"/>
        </w:rPr>
        <w:t xml:space="preserve">Prediction Results File (CSV)</w:t>
      </w:r>
    </w:p>
    <w:p>
      <w:pPr>
        <w:pStyle w:val="ListParagraph"/>
        <w:numPr>
          <w:ilvl w:val="0"/>
          <w:numId w:val="2"/>
        </w:numPr>
        <w:spacing w:after="80"/>
      </w:pPr>
      <w:r>
        <w:rPr>
          <w:rFonts w:ascii="Calibri" w:cs="Calibri" w:eastAsia="Calibri" w:hAnsi="Calibri"/>
        </w:rPr>
        <w:t xml:space="preserve">Complete Codebase and Reproducibility Guide</w:t>
      </w:r>
    </w:p>
    <w:p>
      <w:pPr>
        <w:pStyle w:val="Heading1"/>
        <w:spacing w:after="160" w:before="320"/>
      </w:pPr>
      <w:r>
        <w:t xml:space="preserve">2. Technical Report (3–8 pages)</w:t>
      </w:r>
    </w:p>
    <w:p>
      <w:pPr>
        <w:spacing w:after="160"/>
      </w:pPr>
      <w:r>
        <w:rPr>
          <w:rFonts w:ascii="Calibri" w:cs="Calibri" w:eastAsia="Calibri" w:hAnsi="Calibri"/>
        </w:rPr>
        <w:t xml:space="preserve">The report must cover:</w:t>
      </w:r>
    </w:p>
    <w:p>
      <w:pPr>
        <w:pStyle w:val="ListParagraph"/>
        <w:numPr>
          <w:ilvl w:val="0"/>
          <w:numId w:val="3"/>
        </w:numPr>
        <w:spacing w:after="80"/>
      </w:pPr>
      <w:r>
        <w:rPr>
          <w:rFonts w:ascii="Calibri" w:cs="Calibri" w:eastAsia="Calibri" w:hAnsi="Calibri"/>
        </w:rPr>
        <w:t xml:space="preserve">Data acquisition and preprocessing strategy: data source selection rationale, missing-value treatment, timestamp alignment, and spatial matching (site-to-county) strategy</w:t>
      </w:r>
    </w:p>
    <w:p>
      <w:pPr>
        <w:pStyle w:val="ListParagraph"/>
        <w:numPr>
          <w:ilvl w:val="0"/>
          <w:numId w:val="3"/>
        </w:numPr>
        <w:spacing w:after="80"/>
      </w:pPr>
      <w:r>
        <w:rPr>
          <w:rFonts w:ascii="Calibri" w:cs="Calibri" w:eastAsia="Calibri" w:hAnsi="Calibri"/>
        </w:rPr>
        <w:t xml:space="preserve">Feature engineering methodology: features used and the reasoning behind them</w:t>
      </w:r>
    </w:p>
    <w:p>
      <w:pPr>
        <w:pStyle w:val="ListParagraph"/>
        <w:numPr>
          <w:ilvl w:val="0"/>
          <w:numId w:val="3"/>
        </w:numPr>
        <w:spacing w:after="80"/>
      </w:pPr>
      <w:r>
        <w:rPr>
          <w:rFonts w:ascii="Calibri" w:cs="Calibri" w:eastAsia="Calibri" w:hAnsi="Calibri"/>
        </w:rPr>
        <w:t xml:space="preserve">Model architecture and training strategy</w:t>
      </w:r>
    </w:p>
    <w:p>
      <w:pPr>
        <w:pStyle w:val="ListParagraph"/>
        <w:numPr>
          <w:ilvl w:val="0"/>
          <w:numId w:val="3"/>
        </w:numPr>
        <w:spacing w:after="80"/>
      </w:pPr>
      <w:r>
        <w:rPr>
          <w:rFonts w:ascii="Calibri" w:cs="Calibri" w:eastAsia="Calibri" w:hAnsi="Calibri"/>
        </w:rPr>
        <w:t xml:space="preserve">Class-imbalance handling scheme: how the team addressed the extreme sparsity of positive (outage) events in the time series</w:t>
      </w:r>
    </w:p>
    <w:p>
      <w:pPr>
        <w:pStyle w:val="ListParagraph"/>
        <w:numPr>
          <w:ilvl w:val="0"/>
          <w:numId w:val="3"/>
        </w:numPr>
        <w:spacing w:after="80"/>
      </w:pPr>
      <w:r>
        <w:rPr>
          <w:rFonts w:ascii="Calibri" w:cs="Calibri" w:eastAsia="Calibri" w:hAnsi="Calibri"/>
        </w:rPr>
        <w:t xml:space="preserve">Experimental results and ablation analysis</w:t>
      </w:r>
    </w:p>
    <w:p>
      <w:pPr>
        <w:pStyle w:val="ListParagraph"/>
        <w:numPr>
          <w:ilvl w:val="0"/>
          <w:numId w:val="3"/>
        </w:numPr>
        <w:spacing w:after="80"/>
      </w:pPr>
      <w:r>
        <w:rPr>
          <w:rFonts w:ascii="Calibri" w:cs="Calibri" w:eastAsia="Calibri" w:hAnsi="Calibri"/>
        </w:rPr>
        <w:t xml:space="preserve">Data source and licensing declaration: every data source used (e.g., EAGLE-I, Open-Meteo) and its associated license must be explicitly listed; omissions are not acceptable</w:t>
      </w:r>
    </w:p>
    <w:p>
      <w:pPr>
        <w:spacing w:after="160"/>
      </w:pPr>
      <w:r>
        <w:rPr>
          <w:rFonts w:ascii="Calibri" w:cs="Calibri" w:eastAsia="Calibri" w:hAnsi="Calibri"/>
        </w:rPr>
        <w:t xml:space="preserve">Length: 3–8 pages, excluding appendices. Format: PDF.</w:t>
      </w:r>
    </w:p>
    <w:p>
      <w:pPr>
        <w:pStyle w:val="Heading1"/>
        <w:spacing w:after="160" w:before="320"/>
      </w:pPr>
      <w:r>
        <w:t xml:space="preserve">3. Prediction Results File</w:t>
      </w:r>
    </w:p>
    <w:p>
      <w:pPr>
        <w:pStyle w:val="Heading2"/>
        <w:spacing w:after="120" w:before="240"/>
      </w:pPr>
      <w:r>
        <w:t xml:space="preserve">3.1 Field Specification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900"/>
      </w:tblGrid>
      <w:tr>
        <w:trPr>
          <w:tblHeader/>
        </w:trPr>
        <w:tc>
          <w:tcPr>
            <w:tcW w:type="dxa" w:w="16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Field</w:t>
            </w:r>
          </w:p>
        </w:tc>
        <w:tc>
          <w:tcPr>
            <w:tcW w:type="dxa" w:w="28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Type</w:t>
            </w:r>
          </w:p>
        </w:tc>
        <w:tc>
          <w:tcPr>
            <w:tcW w:type="dxa" w:w="59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Description</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task_id</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"A" or "B", identifying Day-Ahead vs. Hours-Ahead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fips_code</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string (5 digits, zero-padded)</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US county-level FIPS code, must match the join key used in the EAGLE-I data</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county</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County name, for human readability (optional but recommended)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state</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State name (optional but recommended)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issue_time</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timestamp, ISO 8601, UTC</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The time the forecast was issued — the information cutoff this prediction is conditioned on</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target_time</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timestamp, ISO 8601, UTC</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The specific future time this row's prediction is for</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predicted_x</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float, range [0, 1]</w:t>
            </w:r>
          </w:p>
        </w:tc>
        <w:tc>
          <w:tcPr>
            <w:tcW w:type="dxa" w:w="5900"/>
            <w:tcMar>
              <w:top w:type="dxa" w:w="80"/>
              <w:left w:type="dxa" w:w="100"/>
              <w:bottom w:type="dxa" w:w="80"/>
              <w:right w:type="dxa" w:w="100"/>
            </w:tcMar>
          </w:tcPr>
          <w:p>
            <w:r>
              <w:rPr>
                <w:rFonts w:ascii="Calibri" w:cs="Calibri" w:eastAsia="Calibri" w:hAnsi="Calibri"/>
                <w:b w:val="false"/>
                <w:bCs w:val="false"/>
                <w:sz w:val="20"/>
                <w:szCs w:val="20"/>
              </w:rPr>
              <w:t xml:space="preserve">Predicted outage ratio (predicted customers_out / total_customers). Do not submit a raw predicted customers_out count</w:t>
            </w:r>
          </w:p>
        </w:tc>
      </w:tr>
    </w:tbl>
    <w:p>
      <w:pPr>
        <w:spacing w:after="160"/>
      </w:pPr>
    </w:p>
    <w:p>
      <w:pPr>
        <w:shd w:fill="FFF3CD" w:val="clear"/>
        <w:spacing w:after="200" w:before="80"/>
        <w:ind w:left="100"/>
      </w:pPr>
      <w:r>
        <w:rPr>
          <w:rFonts w:ascii="Calibri" w:cs="Calibri" w:eastAsia="Calibri" w:hAnsi="Calibri"/>
          <w:b/>
          <w:bCs/>
        </w:rPr>
        <w:t xml:space="preserve">Important: </w:t>
      </w:r>
      <w:r>
        <w:rPr>
          <w:rFonts w:ascii="Calibri" w:cs="Calibri" w:eastAsia="Calibri" w:hAnsi="Calibri"/>
        </w:rPr>
        <w:t xml:space="preserve">Submit the predicted ratio predicted_x directly, not a raw predicted customers_out count for the organizers to divide themselves. The reference total_customers value for each county is fixed and maintained by the organizers; letting each team convert on its own risks inconsistent denominators across submissions.</w:t>
      </w:r>
    </w:p>
    <w:p>
      <w:pPr>
        <w:pStyle w:val="Heading2"/>
        <w:spacing w:after="120" w:before="240"/>
      </w:pPr>
      <w:r>
        <w:t xml:space="preserve">3.2 Rolling Issuance — Teams Choose Their Own issue_time</w:t>
      </w:r>
    </w:p>
    <w:p>
      <w:pPr>
        <w:spacing w:after="160"/>
      </w:pPr>
      <w:r>
        <w:rPr>
          <w:rFonts w:ascii="Calibri" w:cs="Calibri" w:eastAsia="Calibri" w:hAnsi="Calibri"/>
        </w:rPr>
        <w:t xml:space="preserve">Forecasts are evaluated on a rolling basis: rather than a single one-off prediction, each team issues repeated forecast batches across the test window, at calendar times of the team's own choosing. Each batch is one issue_time plus its full set of target_time rows.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2200"/>
      </w:tblGrid>
      <w:tr>
        <w:trPr>
          <w:tblHeader/>
        </w:trPr>
        <w:tc>
          <w:tcPr>
            <w:tcW w:type="dxa" w:w="15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Task</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Horizon</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Resolution</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Rows / batch</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22"/>
                <w:szCs w:val="22"/>
              </w:rPr>
              <w:t xml:space="preserve">Min. issuance frequency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 (Day-Ahead)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48 hours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1 hour</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48</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 1 batch / calendar day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B (Hours-Ahead)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6 hours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15 minutes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24</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 1 batch / 6 hours</w:t>
            </w:r>
          </w:p>
        </w:tc>
      </w:tr>
    </w:tbl>
    <w:p>
      <w:pPr>
        <w:spacing w:after="160"/>
      </w:pPr>
    </w:p>
    <w:p>
      <w:pPr>
        <w:spacing w:after="160"/>
      </w:pPr>
      <w:r>
        <w:rPr>
          <w:rFonts w:ascii="Calibri" w:cs="Calibri" w:eastAsia="Calibri" w:hAnsi="Calibri"/>
        </w:rPr>
        <w:t xml:space="preserve">The horizon and resolution above are fixed by the task definition and are not adjustable per batch — every batch must contain the complete, exact set of lead times, regardless of which issue_time you pick. Partial or truncated batches (e.g., stopping short of +48h) will be treated as non-compliant.</w:t>
      </w:r>
    </w:p>
    <w:p>
      <w:pPr>
        <w:spacing w:after="160"/>
      </w:pPr>
      <w:r>
        <w:rPr>
          <w:rFonts w:ascii="Calibri" w:cs="Calibri" w:eastAsia="Calibri" w:hAnsi="Calibri"/>
        </w:rPr>
        <w:t xml:space="preserve">All timestamps must be UTC, in ISO 8601 format (e.g. 2024-01-02T03:15:00Z). Do not use ambiguous, timezone-less formats such as the raw EAGLE-I "1/2/2024 3:15" style.</w:t>
      </w:r>
    </w:p>
    <w:p>
      <w:pPr>
        <w:spacing w:after="160"/>
      </w:pPr>
      <w:r>
        <w:rPr>
          <w:rFonts w:ascii="Calibri" w:cs="Calibri" w:eastAsia="Calibri" w:hAnsi="Calibri"/>
        </w:rPr>
        <w:t xml:space="preserve">Batches from different issue_times may legitimately predict overlapping target_times (e.g., a target predicted both 47 hours and 3 hours ahead) — this is expected and useful, since it lets scoring examine accuracy as a function of lead time. Do not deduplicate; each (task_id, issue_time, target_time) row is scored independently.</w:t>
      </w:r>
    </w:p>
    <w:p>
      <w:pPr>
        <w:spacing w:after="160"/>
      </w:pPr>
      <w:r>
        <w:rPr>
          <w:rFonts w:ascii="Calibri" w:cs="Calibri" w:eastAsia="Calibri" w:hAnsi="Calibri"/>
        </w:rPr>
        <w:t xml:space="preserve">Site coverage: each team selects its own 5 counties from those covered by EAGLE-I, and predicts for that same set of 5 counties throughout the test window. These 5 counties are a generic evaluation set your team chooses, not necessarily the competition's eventual AI data center locations — see the note on the data center topology dataset in the Scope section above. Document and justify your county selection in the technical report (Section 2). Every batch must include predictions for all 5 of your chosen counties — do not submit partial coverage.</w:t>
      </w:r>
    </w:p>
    <w:p>
      <w:pPr>
        <w:spacing w:after="160"/>
      </w:pPr>
      <w:r>
        <w:rPr>
          <w:rFonts w:ascii="Calibri" w:cs="Calibri" w:eastAsia="Calibri" w:hAnsi="Calibri"/>
        </w:rPr>
        <w:t xml:space="preserve">These minimum frequencies apply across the announced test window (Section 3.4): September 1 – November 30, 2025, for both tasks. Because Task A's horizon extends 48 hours and Task B's extends 6 hours, teams may need to issue their first batch(es) slightly before September 1, 2025 in order to produce target_time rows landing on the first day of the test window. Scoring only considers target_time rows that fall within the test window itself.</w:t>
      </w:r>
    </w:p>
    <w:p>
      <w:pPr>
        <w:pStyle w:val="Heading2"/>
        <w:spacing w:after="120" w:before="240"/>
      </w:pPr>
      <w:r>
        <w:t xml:space="preserve">3.3 Weather Input Rules (Train vs. Test)</w:t>
      </w:r>
    </w:p>
    <w:p>
      <w:pPr>
        <w:pStyle w:val="ListParagraph"/>
        <w:numPr>
          <w:ilvl w:val="0"/>
          <w:numId w:val="3"/>
        </w:numPr>
        <w:spacing w:after="80"/>
      </w:pPr>
      <w:r>
        <w:rPr>
          <w:rFonts w:ascii="Calibri" w:cs="Calibri" w:eastAsia="Calibri" w:hAnsi="Calibri"/>
        </w:rPr>
        <w:t xml:space="preserve">At training time, teams may use historical observed/reanalysis weather data to learn the weather→outage relationship.</w:t>
      </w:r>
    </w:p>
    <w:p>
      <w:pPr>
        <w:pStyle w:val="ListParagraph"/>
        <w:numPr>
          <w:ilvl w:val="0"/>
          <w:numId w:val="3"/>
        </w:numPr>
        <w:spacing w:after="80"/>
      </w:pPr>
      <w:r>
        <w:rPr>
          <w:rFonts w:ascii="Calibri" w:cs="Calibri" w:eastAsia="Calibri" w:hAnsi="Calibri"/>
        </w:rPr>
        <w:t xml:space="preserve">At prediction time (generating the predicted_x values you submit for a given issue_time), the weather input must be the forecast that would actually have been available at issue_time — not the real/observed weather at target_time. Using real future weather as a stand-in for a forecast is a form of information leakage and makes the task trivially easy in a way that does not reflect real deployment conditions.</w:t>
      </w:r>
    </w:p>
    <w:p>
      <w:pPr>
        <w:pStyle w:val="ListParagraph"/>
        <w:numPr>
          <w:ilvl w:val="0"/>
          <w:numId w:val="3"/>
        </w:numPr>
        <w:spacing w:after="80"/>
      </w:pPr>
      <w:r>
        <w:rPr>
          <w:rFonts w:ascii="Calibri" w:cs="Calibri" w:eastAsia="Calibri" w:hAnsi="Calibri"/>
        </w:rPr>
        <w:t xml:space="preserve">If using Open-Meteo: the default "Historical Forecast API" stitches together only the first hour of each successive model run, so it does not preserve genuine lead-time-specific forecast values and is not suitable here. Use the Single Runs API (run= parameter) to retrieve the actual archived forecast issued at a specific past initialization time, matching your chosen issue_time.</w:t>
      </w:r>
    </w:p>
    <w:p>
      <w:pPr>
        <w:shd w:fill="FFF3CD" w:val="clear"/>
        <w:spacing w:after="200" w:before="80"/>
        <w:ind w:left="100"/>
      </w:pPr>
      <w:r>
        <w:rPr>
          <w:rFonts w:ascii="Calibri" w:cs="Calibri" w:eastAsia="Calibri" w:hAnsi="Calibri"/>
          <w:b/>
          <w:bCs/>
        </w:rPr>
        <w:t xml:space="preserve">Important: </w:t>
      </w:r>
      <w:r>
        <w:rPr>
          <w:rFonts w:ascii="Calibri" w:cs="Calibri" w:eastAsia="Calibri" w:hAnsi="Calibri"/>
        </w:rPr>
        <w:t xml:space="preserve">Model choice for Single Runs is constrained by data availability: only ECMWF IFS HRES has an archive deep enough to cover the test window used in this challenge (available from March 14, 2024). All other models in the Single Runs API are only archived from April 2, 2026 onward, which does not overlap with the test window below. This constraint applies to the weather input used to generate your submitted predictions (Section 3.3 above); training itself may still use historical observed/reanalysis data with no such restriction, but if you also pull Single Runs-derived features for training to keep train/test distributions consistent, the same model restriction applies to that historical range too. Use ECMWF IFS HRES as your Single Runs weather model.</w:t>
      </w:r>
    </w:p>
    <w:p>
      <w:pPr>
        <w:pStyle w:val="Heading2"/>
        <w:spacing w:after="120" w:before="240"/>
      </w:pPr>
      <w:r>
        <w:t xml:space="preserve">3.4 Test Window and Training Data</w:t>
      </w:r>
    </w:p>
    <w:p>
      <w:pPr>
        <w:spacing w:after="160"/>
      </w:pPr>
      <w:r>
        <w:rPr>
          <w:rFonts w:ascii="Calibri" w:cs="Calibri" w:eastAsia="Calibri" w:hAnsi="Calibri"/>
        </w:rPr>
        <w:t xml:space="preserve">The evaluation test window for Phase 1 is:</w:t>
      </w:r>
    </w:p>
    <w:p>
      <w:pPr>
        <w:spacing w:after="160"/>
      </w:pPr>
      <w:r>
        <w:rPr>
          <w:rFonts w:ascii="Calibri" w:cs="Calibri" w:eastAsia="Calibri" w:hAnsi="Calibri"/>
          <w:b/>
          <w:bCs/>
          <w:sz w:val="24"/>
          <w:szCs w:val="24"/>
        </w:rPr>
        <w:t xml:space="preserve">September 1, 2025 – November 30, 2025 (UTC)</w:t>
      </w:r>
    </w:p>
    <w:p>
      <w:pPr>
        <w:spacing w:after="160"/>
      </w:pPr>
      <w:r>
        <w:rPr>
          <w:rFonts w:ascii="Calibri" w:cs="Calibri" w:eastAsia="Calibri" w:hAnsi="Calibri"/>
        </w:rPr>
        <w:t xml:space="preserve">This window was chosen to fall within the confirmed full-year EAGLE-I 2025 release and within the ECMWF IFS HRES Single Runs archive (available from March 14, 2024), and to cover the tail of the Atlantic hurricane season plus early fall — a period historically associated with a higher density of US outage events, which matters given how sparse positive (outage) events are in this data overall.</w:t>
      </w:r>
    </w:p>
    <w:p>
      <w:pPr>
        <w:spacing w:after="160"/>
      </w:pPr>
      <w:r>
        <w:rPr>
          <w:rFonts w:ascii="Calibri" w:cs="Calibri" w:eastAsia="Calibri" w:hAnsi="Calibri"/>
        </w:rPr>
        <w:t xml:space="preserve">Teams may use EAGLE-I and weather data prior to the test window for training (up to August 31, 2025 is recommended, though earlier historical EAGLE-I data may also be used for pretraining/feature development, subject to the weather-input rules in 3.3 above applying only to how you generate the submitted predictions themselves).</w:t>
      </w:r>
    </w:p>
    <w:p>
      <w:pPr>
        <w:pBdr>
          <w:left w:val="single" w:color="888888" w:sz="12" w:space="8"/>
        </w:pBdr>
        <w:spacing w:after="200" w:before="80"/>
        <w:ind w:left="200"/>
      </w:pPr>
      <w:r>
        <w:rPr>
          <w:rFonts w:ascii="Calibri" w:cs="Calibri" w:eastAsia="Calibri" w:hAnsi="Calibri"/>
          <w:b/>
          <w:bCs/>
        </w:rPr>
        <w:t xml:space="preserve">Note: </w:t>
      </w:r>
      <w:r>
        <w:rPr>
          <w:rFonts w:ascii="Calibri" w:cs="Calibri" w:eastAsia="Calibri" w:hAnsi="Calibri"/>
          <w:i/>
          <w:iCs/>
        </w:rPr>
        <w:t xml:space="preserve">Ground-truth data for the test window is technically public (both through the EAGLE-I 2025 annual release and the near-real-time ODIN county outage feed). Teams are required to submit their full codebase and a technical report alongside predictions; using looked-up ground truth instead of a genuine forecasting pipeline is a violation of the competition rules and will be identifiable through the required code and reproducibility review.</w:t>
      </w:r>
    </w:p>
    <w:p>
      <w:pPr>
        <w:pStyle w:val="Heading2"/>
        <w:spacing w:after="120" w:before="240"/>
      </w:pPr>
      <w:r>
        <w:t xml:space="preserve">3.5 Example</w:t>
      </w:r>
    </w:p>
    <w:p>
      <w:pPr>
        <w:spacing w:after="160"/>
      </w:pPr>
      <w:r>
        <w:rPr>
          <w:rFonts w:ascii="Calibri" w:cs="Calibri" w:eastAsia="Calibri" w:hAnsi="Calibri"/>
        </w:rPr>
        <w:t xml:space="preserve">See the accompanying CSV template (predictions_template_EN.csv), which contains example batches for Task A and Task B, including two different issue_times per task to illustrate rolling issuance. The predicted_x values in the template are placeholders for formatting purposes only and are not real predictions.</w:t>
      </w:r>
    </w:p>
    <w:p>
      <w:pPr>
        <w:pStyle w:val="Heading1"/>
        <w:spacing w:after="160" w:before="320"/>
      </w:pPr>
      <w:r>
        <w:t xml:space="preserve">4. Complete Codebase and Reproducibility Guide</w:t>
      </w:r>
    </w:p>
    <w:p>
      <w:pPr>
        <w:spacing w:after="160"/>
      </w:pPr>
      <w:r>
        <w:rPr>
          <w:rFonts w:ascii="Calibri" w:cs="Calibri" w:eastAsia="Calibri" w:hAnsi="Calibri"/>
        </w:rPr>
        <w:t xml:space="preserve">Your codebase must cover the full pipeline from data acquisition to prediction output, accompanied by an operational manual. This includes:</w:t>
      </w:r>
    </w:p>
    <w:p>
      <w:pPr>
        <w:pStyle w:val="ListParagraph"/>
        <w:numPr>
          <w:ilvl w:val="0"/>
          <w:numId w:val="3"/>
        </w:numPr>
        <w:spacing w:after="80"/>
      </w:pPr>
      <w:r>
        <w:rPr>
          <w:rFonts w:ascii="Calibri" w:cs="Calibri" w:eastAsia="Calibri" w:hAnsi="Calibri"/>
        </w:rPr>
        <w:t xml:space="preserve">Full executable code: data acquisition, preprocessing, feature construction, model training, and prediction output</w:t>
      </w:r>
    </w:p>
    <w:p>
      <w:pPr>
        <w:pStyle w:val="ListParagraph"/>
        <w:numPr>
          <w:ilvl w:val="0"/>
          <w:numId w:val="3"/>
        </w:numPr>
        <w:spacing w:after="80"/>
      </w:pPr>
      <w:r>
        <w:rPr>
          <w:rFonts w:ascii="Calibri" w:cs="Calibri" w:eastAsia="Calibri" w:hAnsi="Calibri"/>
        </w:rPr>
        <w:t xml:space="preserve">Environment configuration: dependency list, Python/package versions, and hardware requirements if applicable</w:t>
      </w:r>
    </w:p>
    <w:p>
      <w:pPr>
        <w:pStyle w:val="ListParagraph"/>
        <w:numPr>
          <w:ilvl w:val="0"/>
          <w:numId w:val="3"/>
        </w:numPr>
        <w:spacing w:after="80"/>
      </w:pPr>
      <w:r>
        <w:rPr>
          <w:rFonts w:ascii="Calibri" w:cs="Calibri" w:eastAsia="Calibri" w:hAnsi="Calibri"/>
        </w:rPr>
        <w:t xml:space="preserve">Data acquisition scripts: how to retrieve/download every raw data source used</w:t>
      </w:r>
    </w:p>
    <w:p>
      <w:pPr>
        <w:pStyle w:val="ListParagraph"/>
        <w:numPr>
          <w:ilvl w:val="0"/>
          <w:numId w:val="3"/>
        </w:numPr>
        <w:spacing w:after="80"/>
      </w:pPr>
      <w:r>
        <w:rPr>
          <w:rFonts w:ascii="Calibri" w:cs="Calibri" w:eastAsia="Calibri" w:hAnsi="Calibri"/>
        </w:rPr>
        <w:t xml:space="preserve">Execution order: the sequence in which scripts/modules must be run</w:t>
      </w:r>
    </w:p>
    <w:p>
      <w:pPr>
        <w:pStyle w:val="ListParagraph"/>
        <w:numPr>
          <w:ilvl w:val="0"/>
          <w:numId w:val="3"/>
        </w:numPr>
        <w:spacing w:after="80"/>
      </w:pPr>
      <w:r>
        <w:rPr>
          <w:rFonts w:ascii="Calibri" w:cs="Calibri" w:eastAsia="Calibri" w:hAnsi="Calibri"/>
        </w:rPr>
        <w:t xml:space="preserve">Expected runtime: approximate time for each major step, so reviewers can plan reproduction time</w:t>
      </w:r>
    </w:p>
    <w:p>
      <w:pPr>
        <w:spacing w:after="160"/>
      </w:pPr>
      <w:r>
        <w:rPr>
          <w:rFonts w:ascii="Calibri" w:cs="Calibri" w:eastAsia="Calibri" w:hAnsi="Calibri"/>
        </w:rPr>
        <w:t xml:space="preserve">The reproducibility guide must be detailed enough that a reviewer can run the pipeline from scratch and reproduce results consistent with (or within a reasonable tolerance of) the submitted CSV.</w:t>
      </w:r>
    </w:p>
    <w:p>
      <w:pPr>
        <w:pStyle w:val="Heading1"/>
        <w:spacing w:after="160" w:before="320"/>
      </w:pPr>
      <w:r>
        <w:t xml:space="preserve">5. Suggested Submission Package Structure</w:t>
      </w:r>
    </w:p>
    <w:p>
      <w:pPr>
        <w:shd w:fill="F2F2F2" w:val="clear"/>
        <w:spacing w:after="200" w:before="120"/>
        <w:ind w:left="200" w:right="200"/>
      </w:pPr>
      <w:r>
        <w:rPr>
          <w:rFonts w:ascii="Consolas" w:cs="Consolas" w:eastAsia="Consolas" w:hAnsi="Consolas"/>
          <w:sz w:val="18"/>
          <w:szCs w:val="18"/>
        </w:rPr>
        <w:t xml:space="preserve">submission/</w:t>
      </w:r>
      <w:r>
        <w:rPr>
          <w:rFonts w:ascii="Consolas" w:cs="Consolas" w:eastAsia="Consolas" w:hAnsi="Consolas"/>
          <w:sz w:val="18"/>
          <w:szCs w:val="18"/>
        </w:rPr>
        <w:br/>
        <w:t xml:space="preserve">├── report.pdf                 # Technical report</w:t>
      </w:r>
      <w:r>
        <w:rPr>
          <w:rFonts w:ascii="Consolas" w:cs="Consolas" w:eastAsia="Consolas" w:hAnsi="Consolas"/>
          <w:sz w:val="18"/>
          <w:szCs w:val="18"/>
        </w:rPr>
        <w:br/>
        <w:t xml:space="preserve">├── predictions.csv            # Prediction results file (Task A + Task B combined,</w:t>
      </w:r>
      <w:r>
        <w:rPr>
          <w:rFonts w:ascii="Consolas" w:cs="Consolas" w:eastAsia="Consolas" w:hAnsi="Consolas"/>
          <w:sz w:val="18"/>
          <w:szCs w:val="18"/>
        </w:rPr>
        <w:br/>
        <w:t xml:space="preserve">│                               distinguished by task_id)</w:t>
      </w:r>
      <w:r>
        <w:rPr>
          <w:rFonts w:ascii="Consolas" w:cs="Consolas" w:eastAsia="Consolas" w:hAnsi="Consolas"/>
          <w:sz w:val="18"/>
          <w:szCs w:val="18"/>
        </w:rPr>
        <w:br/>
        <w:t xml:space="preserve">├── code/</w:t>
      </w:r>
      <w:r>
        <w:rPr>
          <w:rFonts w:ascii="Consolas" w:cs="Consolas" w:eastAsia="Consolas" w:hAnsi="Consolas"/>
          <w:sz w:val="18"/>
          <w:szCs w:val="18"/>
        </w:rPr>
        <w:br/>
        <w:t xml:space="preserve">│   ├── data_acquisition/</w:t>
      </w:r>
      <w:r>
        <w:rPr>
          <w:rFonts w:ascii="Consolas" w:cs="Consolas" w:eastAsia="Consolas" w:hAnsi="Consolas"/>
          <w:sz w:val="18"/>
          <w:szCs w:val="18"/>
        </w:rPr>
        <w:br/>
        <w:t xml:space="preserve">│   ├── preprocessing/</w:t>
      </w:r>
      <w:r>
        <w:rPr>
          <w:rFonts w:ascii="Consolas" w:cs="Consolas" w:eastAsia="Consolas" w:hAnsi="Consolas"/>
          <w:sz w:val="18"/>
          <w:szCs w:val="18"/>
        </w:rPr>
        <w:br/>
        <w:t xml:space="preserve">│   ├── features/</w:t>
      </w:r>
      <w:r>
        <w:rPr>
          <w:rFonts w:ascii="Consolas" w:cs="Consolas" w:eastAsia="Consolas" w:hAnsi="Consolas"/>
          <w:sz w:val="18"/>
          <w:szCs w:val="18"/>
        </w:rPr>
        <w:br/>
        <w:t xml:space="preserve">│   ├── train.py</w:t>
      </w:r>
      <w:r>
        <w:rPr>
          <w:rFonts w:ascii="Consolas" w:cs="Consolas" w:eastAsia="Consolas" w:hAnsi="Consolas"/>
          <w:sz w:val="18"/>
          <w:szCs w:val="18"/>
        </w:rPr>
        <w:br/>
        <w:t xml:space="preserve">│   ├── predict.py</w:t>
      </w:r>
      <w:r>
        <w:rPr>
          <w:rFonts w:ascii="Consolas" w:cs="Consolas" w:eastAsia="Consolas" w:hAnsi="Consolas"/>
          <w:sz w:val="18"/>
          <w:szCs w:val="18"/>
        </w:rPr>
        <w:br/>
        <w:t xml:space="preserve">│   └── requirements.txt</w:t>
      </w:r>
      <w:r>
        <w:rPr>
          <w:rFonts w:ascii="Consolas" w:cs="Consolas" w:eastAsia="Consolas" w:hAnsi="Consolas"/>
          <w:sz w:val="18"/>
          <w:szCs w:val="18"/>
        </w:rPr>
        <w:br/>
        <w:t xml:space="preserve">└── README.md                  # Reproducibility guide (environment setup,</w:t>
      </w:r>
      <w:r>
        <w:rPr>
          <w:rFonts w:ascii="Consolas" w:cs="Consolas" w:eastAsia="Consolas" w:hAnsi="Consolas"/>
          <w:sz w:val="18"/>
          <w:szCs w:val="18"/>
        </w:rPr>
        <w:br/>
        <w:t xml:space="preserve">                                execution order, expected runtime)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2026-08-18T20:57:29.234Z</dcterms:created>
  <dcterms:modified xsi:type="dcterms:W3CDTF">2026-08-18T20:57:29.235Z</dcterms:modified>
</cp:coreProperties>
</file>

<file path=docProps/custom.xml><?xml version="1.0" encoding="utf-8"?>
<Properties xmlns="http://schemas.openxmlformats.org/officeDocument/2006/custom-properties" xmlns:vt="http://schemas.openxmlformats.org/officeDocument/2006/docPropsVTypes"/>
</file>