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30054 International and Monetary Economics</w:t>
      </w:r>
    </w:p>
    <w:p>
      <w:pPr>
        <w:spacing w:after="60"/>
        <w:jc w:val="center"/>
      </w:pPr>
      <w:r>
        <w:rPr>
          <w:rFonts w:ascii="Times New Roman" w:cs="Times New Roman" w:eastAsia="Times New Roman" w:hAnsi="Times New Roman"/>
          <w:b/>
          <w:bCs/>
          <w:sz w:val="32"/>
          <w:szCs w:val="32"/>
        </w:rPr>
        <w:t xml:space="preserve">Individual Assignment 1 — Solution</w:t>
      </w:r>
    </w:p>
    <w:p>
      <w:pPr>
        <w:spacing w:after="300"/>
        <w:jc w:val="center"/>
      </w:pPr>
      <w:r>
        <w:rPr>
          <w:rFonts w:ascii="Times New Roman" w:cs="Times New Roman" w:eastAsia="Times New Roman" w:hAnsi="Times New Roman"/>
          <w:sz w:val="24"/>
          <w:szCs w:val="24"/>
        </w:rPr>
        <w:t xml:space="preserve">Spring 2026</w:t>
      </w:r>
    </w:p>
    <w:p>
      <w:pPr>
        <w:pStyle w:val="Heading1"/>
        <w:spacing w:after="200" w:before="300"/>
      </w:pPr>
      <w:r>
        <w:rPr>
          <w:rFonts w:ascii="Times New Roman" w:cs="Times New Roman" w:eastAsia="Times New Roman" w:hAnsi="Times New Roman"/>
          <w:b/>
          <w:bCs/>
          <w:sz w:val="32"/>
          <w:szCs w:val="32"/>
        </w:rPr>
        <w:t xml:space="preserve">Problem 1 — Data (Italy)</w:t>
      </w:r>
    </w:p>
    <w:p>
      <w:pPr>
        <w:pStyle w:val="Heading2"/>
        <w:spacing w:after="200" w:before="300"/>
      </w:pPr>
      <w:r>
        <w:rPr>
          <w:rFonts w:ascii="Times New Roman" w:cs="Times New Roman" w:eastAsia="Times New Roman" w:hAnsi="Times New Roman"/>
          <w:b/>
          <w:bCs/>
          <w:sz w:val="28"/>
          <w:szCs w:val="28"/>
        </w:rPr>
        <w:t xml:space="preserve">1.1  Latest Annual Data</w:t>
      </w:r>
    </w:p>
    <w:p>
      <w:pPr>
        <w:spacing w:after="120" w:line="276"/>
      </w:pPr>
      <w:r>
        <w:rPr>
          <w:rFonts w:ascii="Times New Roman" w:cs="Times New Roman" w:eastAsia="Times New Roman" w:hAnsi="Times New Roman"/>
          <w:sz w:val="24"/>
          <w:szCs w:val="24"/>
        </w:rPr>
        <w:t xml:space="preserve">Country: Italy. Source: ISTAT (Istituto Nazionale di Statistica), National Accounts.</w:t>
      </w:r>
    </w:p>
    <w:p>
      <w:pPr>
        <w:spacing w:after="120" w:line="276"/>
      </w:pPr>
      <w:r>
        <w:rPr>
          <w:rFonts w:ascii="Times New Roman" w:cs="Times New Roman" w:eastAsia="Times New Roman" w:hAnsi="Times New Roman"/>
          <w:sz w:val="24"/>
          <w:szCs w:val="24"/>
        </w:rPr>
        <w:t xml:space="preserve">The latest complete annual data available refer to 2023. All figures are in billions of euros at current prices.</w:t>
      </w:r>
    </w:p>
    <w:p>
      <w:pPr>
        <w:spacing w:after="120" w:line="276"/>
      </w:pPr>
      <w:r>
        <w:rPr>
          <w:rFonts w:ascii="Times New Roman" w:cs="Times New Roman" w:eastAsia="Times New Roman" w:hAnsi="Times New Roman"/>
          <w:b/>
          <w:bCs/>
          <w:sz w:val="24"/>
          <w:szCs w:val="24"/>
        </w:rPr>
        <w:t xml:space="preserve">Definitions used (from class):</w:t>
      </w:r>
    </w:p>
    <w:p>
      <w:pPr>
        <w:spacing w:after="120" w:line="276"/>
      </w:pPr>
      <w:r>
        <w:rPr>
          <w:rFonts w:ascii="Times New Roman" w:cs="Times New Roman" w:eastAsia="Times New Roman" w:hAnsi="Times New Roman"/>
          <w:sz w:val="24"/>
          <w:szCs w:val="24"/>
        </w:rPr>
        <w:t xml:space="preserve">GDP = C + I + G + NX  (expenditure approach with net exports)</w:t>
      </w:r>
    </w:p>
    <w:p>
      <w:pPr>
        <w:spacing w:after="120" w:line="276"/>
      </w:pPr>
      <w:r>
        <w:rPr>
          <w:rFonts w:ascii="Times New Roman" w:cs="Times New Roman" w:eastAsia="Times New Roman" w:hAnsi="Times New Roman"/>
          <w:sz w:val="24"/>
          <w:szCs w:val="24"/>
        </w:rPr>
        <w:t xml:space="preserve">GNE = C + I + G = GDP − NX  (gross national expenditure)</w:t>
      </w:r>
    </w:p>
    <w:p>
      <w:pPr>
        <w:spacing w:after="120" w:line="276"/>
      </w:pPr>
      <w:r>
        <w:rPr>
          <w:rFonts w:ascii="Times New Roman" w:cs="Times New Roman" w:eastAsia="Times New Roman" w:hAnsi="Times New Roman"/>
          <w:sz w:val="24"/>
          <w:szCs w:val="24"/>
        </w:rPr>
        <w:t xml:space="preserve">GNI = GDP + NIFA  (gross national income)</w:t>
      </w:r>
    </w:p>
    <w:p>
      <w:pPr>
        <w:spacing w:after="120" w:line="276"/>
      </w:pPr>
      <w:r>
        <w:rPr>
          <w:rFonts w:ascii="Times New Roman" w:cs="Times New Roman" w:eastAsia="Times New Roman" w:hAnsi="Times New Roman"/>
          <w:sz w:val="24"/>
          <w:szCs w:val="24"/>
        </w:rPr>
        <w:t xml:space="preserve">GNDI = GNI + NUT  (gross national disposable income)</w:t>
      </w:r>
    </w:p>
    <w:p>
      <w:pPr>
        <w:spacing w:after="120" w:line="276"/>
      </w:pPr>
      <w:r>
        <w:rPr>
          <w:rFonts w:ascii="Times New Roman" w:cs="Times New Roman" w:eastAsia="Times New Roman" w:hAnsi="Times New Roman"/>
          <w:b/>
          <w:bCs/>
          <w:sz w:val="24"/>
          <w:szCs w:val="24"/>
        </w:rPr>
        <w:t xml:space="preserve">2023 values:</w:t>
      </w:r>
    </w:p>
    <w:p>
      <w:pPr>
        <w:spacing w:after="120" w:line="276"/>
      </w:pPr>
      <w:r>
        <w:rPr>
          <w:rFonts w:ascii="Times New Roman" w:cs="Times New Roman" w:eastAsia="Times New Roman" w:hAnsi="Times New Roman"/>
          <w:sz w:val="24"/>
          <w:szCs w:val="24"/>
        </w:rPr>
        <w:t xml:space="preserve">GDP = 2,085.0 billion EUR</w:t>
      </w:r>
    </w:p>
    <w:p>
      <w:pPr>
        <w:spacing w:after="120" w:line="276"/>
      </w:pPr>
      <w:r>
        <w:rPr>
          <w:rFonts w:ascii="Times New Roman" w:cs="Times New Roman" w:eastAsia="Times New Roman" w:hAnsi="Times New Roman"/>
          <w:sz w:val="24"/>
          <w:szCs w:val="24"/>
        </w:rPr>
        <w:t xml:space="preserve">Trade balance (NX) = Exports − Imports ≈ +5.0 billion EUR</w:t>
      </w:r>
    </w:p>
    <w:p>
      <w:pPr>
        <w:spacing w:after="120" w:line="276"/>
      </w:pPr>
      <w:r>
        <w:rPr>
          <w:rFonts w:ascii="Times New Roman" w:cs="Times New Roman" w:eastAsia="Times New Roman" w:hAnsi="Times New Roman"/>
          <w:sz w:val="24"/>
          <w:szCs w:val="24"/>
        </w:rPr>
        <w:t xml:space="preserve">GNE = GDP − NX = 2,085.0 − 5.0 = 2,080.0 billion EUR</w:t>
      </w:r>
    </w:p>
    <w:p>
      <w:pPr>
        <w:spacing w:after="120" w:line="276"/>
      </w:pPr>
      <w:r>
        <w:rPr>
          <w:rFonts w:ascii="Times New Roman" w:cs="Times New Roman" w:eastAsia="Times New Roman" w:hAnsi="Times New Roman"/>
          <w:sz w:val="24"/>
          <w:szCs w:val="24"/>
        </w:rPr>
        <w:t xml:space="preserve">NIFA (Net Factor Income from Abroad) ≈ −20.0 billion EUR</w:t>
      </w:r>
    </w:p>
    <w:p>
      <w:pPr>
        <w:spacing w:after="120" w:line="276"/>
      </w:pPr>
      <w:r>
        <w:rPr>
          <w:rFonts w:ascii="Times New Roman" w:cs="Times New Roman" w:eastAsia="Times New Roman" w:hAnsi="Times New Roman"/>
          <w:sz w:val="24"/>
          <w:szCs w:val="24"/>
        </w:rPr>
        <w:t xml:space="preserve">GNI = GDP + NIFA = 2,085.0 + (−20.0) = 2,065.0 billion EUR</w:t>
      </w:r>
    </w:p>
    <w:p>
      <w:pPr>
        <w:spacing w:after="120" w:line="276"/>
      </w:pPr>
      <w:r>
        <w:rPr>
          <w:rFonts w:ascii="Times New Roman" w:cs="Times New Roman" w:eastAsia="Times New Roman" w:hAnsi="Times New Roman"/>
          <w:sz w:val="24"/>
          <w:szCs w:val="24"/>
        </w:rPr>
        <w:t xml:space="preserve">NUT (Net Unilateral Transfers) ≈ −13.0 billion EUR</w:t>
      </w:r>
    </w:p>
    <w:p>
      <w:pPr>
        <w:spacing w:after="120" w:line="276"/>
      </w:pPr>
      <w:r>
        <w:rPr>
          <w:rFonts w:ascii="Times New Roman" w:cs="Times New Roman" w:eastAsia="Times New Roman" w:hAnsi="Times New Roman"/>
          <w:sz w:val="24"/>
          <w:szCs w:val="24"/>
        </w:rPr>
        <w:t xml:space="preserve">GNDI = GNI + NUT = 2,065.0 + (−13.0) = 2,052.0 billion EUR</w:t>
      </w:r>
    </w:p>
    <w:p>
      <w:pPr>
        <w:spacing w:after="120" w:line="276"/>
      </w:pPr>
      <w:r>
        <w:rPr>
          <w:rFonts w:ascii="Times New Roman" w:cs="Times New Roman" w:eastAsia="Times New Roman" w:hAnsi="Times New Roman"/>
          <w:sz w:val="24"/>
          <w:szCs w:val="24"/>
        </w:rPr>
        <w:t xml:space="preserve">Note: ISTAT does not report GNE directly. It is computed as GDP minus the trade balance. GNI is available from the income accounts. GNDI is obtained by adding net current transfers to GNI.</w:t>
      </w:r>
    </w:p>
    <w:p>
      <w:pPr>
        <w:pStyle w:val="Heading2"/>
        <w:spacing w:after="200" w:before="300"/>
      </w:pPr>
      <w:r>
        <w:rPr>
          <w:rFonts w:ascii="Times New Roman" w:cs="Times New Roman" w:eastAsia="Times New Roman" w:hAnsi="Times New Roman"/>
          <w:b/>
          <w:bCs/>
          <w:sz w:val="28"/>
          <w:szCs w:val="28"/>
        </w:rPr>
        <w:t xml:space="preserve">1.2  Time Series Plot (1995–2023)</w:t>
      </w:r>
    </w:p>
    <w:p>
      <w:pPr>
        <w:spacing w:after="120" w:line="276"/>
      </w:pPr>
      <w:r>
        <w:rPr>
          <w:rFonts w:ascii="Times New Roman" w:cs="Times New Roman" w:eastAsia="Times New Roman" w:hAnsi="Times New Roman"/>
          <w:sz w:val="24"/>
          <w:szCs w:val="24"/>
        </w:rPr>
        <w:t xml:space="preserve">The figure below plots the four aggregates for Italy over the longest available period (1995–2023) at current prices.</w:t>
      </w:r>
    </w:p>
    <w:p>
      <w:pPr>
        <w:spacing w:after="120" w:before="12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314700"/>
                    </a:xfrm>
                    <a:prstGeom prst="rect">
                      <a:avLst/>
                    </a:prstGeom>
                  </pic:spPr>
                </pic:pic>
              </a:graphicData>
            </a:graphic>
          </wp:inline>
        </w:drawing>
      </w:r>
    </w:p>
    <w:p>
      <w:pPr>
        <w:spacing w:after="120" w:line="276"/>
      </w:pPr>
      <w:r>
        <w:rPr>
          <w:rFonts w:ascii="Times New Roman" w:cs="Times New Roman" w:eastAsia="Times New Roman" w:hAnsi="Times New Roman"/>
          <w:i/>
          <w:iCs/>
          <w:sz w:val="24"/>
          <w:szCs w:val="24"/>
        </w:rPr>
        <w:t xml:space="preserve">Figure 1: Italy — GDP, GNE, GNI, and GNDI, 1995–2023 (billions EUR, current prices). Source: ISTAT.</w:t>
      </w:r>
    </w:p>
    <w:p>
      <w:pPr>
        <w:pStyle w:val="Heading2"/>
        <w:spacing w:after="200" w:before="300"/>
      </w:pPr>
      <w:r>
        <w:rPr>
          <w:rFonts w:ascii="Times New Roman" w:cs="Times New Roman" w:eastAsia="Times New Roman" w:hAnsi="Times New Roman"/>
          <w:b/>
          <w:bCs/>
          <w:sz w:val="28"/>
          <w:szCs w:val="28"/>
        </w:rPr>
        <w:t xml:space="preserve">1.3  Discussion</w:t>
      </w:r>
    </w:p>
    <w:p>
      <w:pPr>
        <w:spacing w:after="120" w:line="276"/>
      </w:pPr>
      <w:r>
        <w:rPr>
          <w:rFonts w:ascii="Times New Roman" w:cs="Times New Roman" w:eastAsia="Times New Roman" w:hAnsi="Times New Roman"/>
          <w:b/>
          <w:bCs/>
          <w:sz w:val="24"/>
          <w:szCs w:val="24"/>
        </w:rPr>
        <w:t xml:space="preserve">(a) GDP vs. GNE</w:t>
      </w:r>
    </w:p>
    <w:p>
      <w:pPr>
        <w:spacing w:after="120" w:line="276"/>
      </w:pPr>
      <w:r>
        <w:rPr>
          <w:rFonts w:ascii="Times New Roman" w:cs="Times New Roman" w:eastAsia="Times New Roman" w:hAnsi="Times New Roman"/>
          <w:sz w:val="24"/>
          <w:szCs w:val="24"/>
        </w:rPr>
        <w:t xml:space="preserve">For most of the sample, Italy’s GDP was close to its GNE. In years when Italy ran a trade surplus (NX &gt; 0), GDP &gt; GNE, and vice versa. In the 2000s Italy had trade deficits (especially driven by high energy import costs), so GNE exceeded GDP. After 2012, a combination of improved competitiveness, subdued domestic demand, and lower energy prices shifted Italy into a trade surplus, making GDP slightly above GNE. In 2023, the trade balance was approximately in balance, so GDP ≈ GNE.</w:t>
      </w:r>
    </w:p>
    <w:p>
      <w:pPr>
        <w:spacing w:after="120" w:line="276"/>
      </w:pPr>
      <w:r>
        <w:rPr>
          <w:rFonts w:ascii="Times New Roman" w:cs="Times New Roman" w:eastAsia="Times New Roman" w:hAnsi="Times New Roman"/>
          <w:b/>
          <w:bCs/>
          <w:sz w:val="24"/>
          <w:szCs w:val="24"/>
        </w:rPr>
        <w:t xml:space="preserve">(b) GNI vs. GDP</w:t>
      </w:r>
    </w:p>
    <w:p>
      <w:pPr>
        <w:spacing w:after="120" w:line="276"/>
      </w:pPr>
      <w:r>
        <w:rPr>
          <w:rFonts w:ascii="Times New Roman" w:cs="Times New Roman" w:eastAsia="Times New Roman" w:hAnsi="Times New Roman"/>
          <w:sz w:val="24"/>
          <w:szCs w:val="24"/>
        </w:rPr>
        <w:t xml:space="preserve">Italy’s GNI has been consistently lower than its GDP. This implies NIFA &lt; 0: foreign factors of production (foreign-owned firms, foreign investors) earn more income in Italy than Italian factors earn abroad. Italy is a net debtor country with a negative NIIP, so it pays more investment income to foreigners than it receives. The gap has widened somewhat as foreign ownership of Italian government debt and corporate assets has grown.</w:t>
      </w:r>
    </w:p>
    <w:p>
      <w:pPr>
        <w:spacing w:after="120" w:line="276"/>
      </w:pPr>
      <w:r>
        <w:rPr>
          <w:rFonts w:ascii="Times New Roman" w:cs="Times New Roman" w:eastAsia="Times New Roman" w:hAnsi="Times New Roman"/>
          <w:b/>
          <w:bCs/>
          <w:sz w:val="24"/>
          <w:szCs w:val="24"/>
        </w:rPr>
        <w:t xml:space="preserve">(c) GNDI vs. GNI</w:t>
      </w:r>
    </w:p>
    <w:p>
      <w:pPr>
        <w:spacing w:after="120" w:line="276"/>
      </w:pPr>
      <w:r>
        <w:rPr>
          <w:rFonts w:ascii="Times New Roman" w:cs="Times New Roman" w:eastAsia="Times New Roman" w:hAnsi="Times New Roman"/>
          <w:sz w:val="24"/>
          <w:szCs w:val="24"/>
        </w:rPr>
        <w:t xml:space="preserve">Italy’s GNDI has been consistently lower than its GNI. This reflects negative NUT: Italy is a net contributor to the EU budget (through the common agricultural policy, structural funds, etc.) and Italian migrants’ remittances outward exceed inward remittances. The gap is relatively stable at around 10–15 billion EUR per year.</w:t>
      </w:r>
    </w:p>
    <w:p>
      <w:r>
        <w:br/>
      </w:r>
    </w:p>
    <w:p>
      <w:pPr>
        <w:pStyle w:val="Heading1"/>
        <w:spacing w:after="200" w:before="300"/>
      </w:pPr>
      <w:r>
        <w:rPr>
          <w:rFonts w:ascii="Times New Roman" w:cs="Times New Roman" w:eastAsia="Times New Roman" w:hAnsi="Times New Roman"/>
          <w:b/>
          <w:bCs/>
          <w:sz w:val="32"/>
          <w:szCs w:val="32"/>
        </w:rPr>
        <w:t xml:space="preserve">Problem 2 — Balance of Payments (Ikonomia)</w:t>
      </w:r>
    </w:p>
    <w:p>
      <w:pPr>
        <w:spacing w:after="120" w:line="276"/>
      </w:pPr>
      <w:r>
        <w:rPr>
          <w:rFonts w:ascii="Times New Roman" w:cs="Times New Roman" w:eastAsia="Times New Roman" w:hAnsi="Times New Roman"/>
          <w:b/>
          <w:bCs/>
          <w:sz w:val="24"/>
          <w:szCs w:val="24"/>
        </w:rPr>
        <w:t xml:space="preserve">Given:</w:t>
      </w:r>
    </w:p>
    <w:p>
      <w:pPr>
        <w:spacing w:after="120" w:line="276"/>
      </w:pPr>
      <w:r>
        <w:rPr>
          <w:rFonts w:ascii="Times New Roman" w:cs="Times New Roman" w:eastAsia="Times New Roman" w:hAnsi="Times New Roman"/>
          <w:sz w:val="24"/>
          <w:szCs w:val="24"/>
        </w:rPr>
        <w:t xml:space="preserve">CA = −$1,000 million (current account deficit)</w:t>
      </w:r>
    </w:p>
    <w:p>
      <w:pPr>
        <w:spacing w:after="120" w:line="276"/>
      </w:pPr>
      <w:r>
        <w:rPr>
          <w:rFonts w:ascii="Times New Roman" w:cs="Times New Roman" w:eastAsia="Times New Roman" w:hAnsi="Times New Roman"/>
          <w:sz w:val="24"/>
          <w:szCs w:val="24"/>
        </w:rPr>
        <w:t xml:space="preserve">FA(nonreserve) = +$750 million (surplus, i.e., net capital inflow)</w:t>
      </w:r>
    </w:p>
    <w:p>
      <w:pPr>
        <w:spacing w:after="120" w:line="276"/>
      </w:pPr>
      <w:r>
        <w:rPr>
          <w:rFonts w:ascii="Times New Roman" w:cs="Times New Roman" w:eastAsia="Times New Roman" w:hAnsi="Times New Roman"/>
          <w:sz w:val="24"/>
          <w:szCs w:val="24"/>
        </w:rPr>
        <w:t xml:space="preserve">KA = +$100 million (surplus)</w:t>
      </w:r>
    </w:p>
    <w:p>
      <w:pPr>
        <w:spacing w:after="120" w:line="276"/>
      </w:pPr>
      <w:r>
        <w:rPr>
          <w:rFonts w:ascii="Times New Roman" w:cs="Times New Roman" w:eastAsia="Times New Roman" w:hAnsi="Times New Roman"/>
          <w:sz w:val="24"/>
          <w:szCs w:val="24"/>
        </w:rPr>
        <w:t xml:space="preserve">Income of Ikonomian factories abroad = $700 million</w:t>
      </w:r>
    </w:p>
    <w:p>
      <w:pPr>
        <w:spacing w:after="120" w:line="276"/>
      </w:pPr>
      <w:r>
        <w:rPr>
          <w:rFonts w:ascii="Times New Roman" w:cs="Times New Roman" w:eastAsia="Times New Roman" w:hAnsi="Times New Roman"/>
          <w:sz w:val="24"/>
          <w:szCs w:val="24"/>
        </w:rPr>
        <w:t xml:space="preserve">Trade deficit: NX = −$800 million</w:t>
      </w:r>
    </w:p>
    <w:p>
      <w:pPr>
        <w:spacing w:after="120" w:line="276"/>
      </w:pPr>
      <w:r>
        <w:rPr>
          <w:rFonts w:ascii="Times New Roman" w:cs="Times New Roman" w:eastAsia="Times New Roman" w:hAnsi="Times New Roman"/>
          <w:sz w:val="24"/>
          <w:szCs w:val="24"/>
        </w:rPr>
        <w:t xml:space="preserve">NUT = 0 (no unilateral transfers)</w:t>
      </w:r>
    </w:p>
    <w:p>
      <w:pPr>
        <w:spacing w:after="120" w:line="276"/>
      </w:pPr>
      <w:r>
        <w:rPr>
          <w:rFonts w:ascii="Times New Roman" w:cs="Times New Roman" w:eastAsia="Times New Roman" w:hAnsi="Times New Roman"/>
          <w:sz w:val="24"/>
          <w:szCs w:val="24"/>
        </w:rPr>
        <w:t xml:space="preserve">GDP = $9,000 million</w:t>
      </w:r>
    </w:p>
    <w:p>
      <w:pPr>
        <w:pStyle w:val="Heading2"/>
        <w:spacing w:after="200" w:before="300"/>
      </w:pPr>
      <w:r>
        <w:rPr>
          <w:rFonts w:ascii="Times New Roman" w:cs="Times New Roman" w:eastAsia="Times New Roman" w:hAnsi="Times New Roman"/>
          <w:b/>
          <w:bCs/>
          <w:sz w:val="28"/>
          <w:szCs w:val="28"/>
        </w:rPr>
        <w:t xml:space="preserve">2.1  Change in Net Foreign Assets</w:t>
      </w:r>
    </w:p>
    <w:p>
      <w:pPr>
        <w:spacing w:after="120" w:line="276"/>
      </w:pPr>
      <w:r>
        <w:rPr>
          <w:rFonts w:ascii="Times New Roman" w:cs="Times New Roman" w:eastAsia="Times New Roman" w:hAnsi="Times New Roman"/>
          <w:sz w:val="24"/>
          <w:szCs w:val="24"/>
        </w:rPr>
        <w:t xml:space="preserve">The change in net foreign assets (NFA) equals the current account balance:</w:t>
      </w:r>
    </w:p>
    <w:p>
      <w:pPr>
        <w:spacing w:after="120" w:line="276"/>
        <w:jc w:val="center"/>
      </w:pPr>
      <w:r>
        <w:rPr>
          <w:rFonts w:ascii="Cambria Math" w:cs="Cambria Math" w:eastAsia="Cambria Math" w:hAnsi="Cambria Math"/>
          <w:i/>
          <w:iCs/>
          <w:sz w:val="24"/>
          <w:szCs w:val="24"/>
        </w:rPr>
        <w:t xml:space="preserve">ΔNFA ≈ CA = −$1,000 million</w:t>
      </w:r>
    </w:p>
    <w:p>
      <w:pPr>
        <w:spacing w:after="120" w:line="276"/>
      </w:pPr>
      <w:r>
        <w:rPr>
          <w:rFonts w:ascii="Times New Roman" w:cs="Times New Roman" w:eastAsia="Times New Roman" w:hAnsi="Times New Roman"/>
          <w:sz w:val="24"/>
          <w:szCs w:val="24"/>
        </w:rPr>
        <w:t xml:space="preserve">Ikonomia’s net foreign assets decreased by $1 billion during 2010. The country lost foreign assets (equivalently, it increased its net indebtedness to the rest of the world).</w:t>
      </w:r>
    </w:p>
    <w:p>
      <w:pPr>
        <w:pStyle w:val="Heading2"/>
        <w:spacing w:after="200" w:before="300"/>
      </w:pPr>
      <w:r>
        <w:rPr>
          <w:rFonts w:ascii="Times New Roman" w:cs="Times New Roman" w:eastAsia="Times New Roman" w:hAnsi="Times New Roman"/>
          <w:b/>
          <w:bCs/>
          <w:sz w:val="28"/>
          <w:szCs w:val="28"/>
        </w:rPr>
        <w:t xml:space="preserve">2.2  Official Settlements Balance (OSB)</w:t>
      </w:r>
    </w:p>
    <w:p>
      <w:pPr>
        <w:spacing w:after="120" w:line="276"/>
      </w:pPr>
      <w:r>
        <w:rPr>
          <w:rFonts w:ascii="Times New Roman" w:cs="Times New Roman" w:eastAsia="Times New Roman" w:hAnsi="Times New Roman"/>
          <w:sz w:val="24"/>
          <w:szCs w:val="24"/>
        </w:rPr>
        <w:t xml:space="preserve">The BOP identity requires:</w:t>
      </w:r>
    </w:p>
    <w:p>
      <w:pPr>
        <w:spacing w:after="120" w:line="276"/>
        <w:jc w:val="center"/>
      </w:pPr>
      <w:r>
        <w:rPr>
          <w:rFonts w:ascii="Cambria Math" w:cs="Cambria Math" w:eastAsia="Cambria Math" w:hAnsi="Cambria Math"/>
          <w:i/>
          <w:iCs/>
          <w:sz w:val="24"/>
          <w:szCs w:val="24"/>
        </w:rPr>
        <w:t xml:space="preserve">CA + FA + KA = 0</w:t>
      </w:r>
    </w:p>
    <w:p>
      <w:pPr>
        <w:spacing w:after="120" w:line="276"/>
      </w:pPr>
      <w:r>
        <w:rPr>
          <w:rFonts w:ascii="Times New Roman" w:cs="Times New Roman" w:eastAsia="Times New Roman" w:hAnsi="Times New Roman"/>
          <w:sz w:val="24"/>
          <w:szCs w:val="24"/>
        </w:rPr>
        <w:t xml:space="preserve">where FA = FA(nonreserve) + FA(reserve). The official settlements balance is:</w:t>
      </w:r>
    </w:p>
    <w:p>
      <w:pPr>
        <w:spacing w:after="120" w:line="276"/>
        <w:jc w:val="center"/>
      </w:pPr>
      <w:r>
        <w:rPr>
          <w:rFonts w:ascii="Cambria Math" w:cs="Cambria Math" w:eastAsia="Cambria Math" w:hAnsi="Cambria Math"/>
          <w:i/>
          <w:iCs/>
          <w:sz w:val="24"/>
          <w:szCs w:val="24"/>
        </w:rPr>
        <w:t xml:space="preserve">OSB = CA + KA + FA(nonreserve)</w:t>
      </w:r>
    </w:p>
    <w:p>
      <w:pPr>
        <w:spacing w:after="120" w:line="276"/>
        <w:jc w:val="center"/>
      </w:pPr>
      <w:r>
        <w:rPr>
          <w:rFonts w:ascii="Cambria Math" w:cs="Cambria Math" w:eastAsia="Cambria Math" w:hAnsi="Cambria Math"/>
          <w:i/>
          <w:iCs/>
          <w:sz w:val="24"/>
          <w:szCs w:val="24"/>
        </w:rPr>
        <w:t xml:space="preserve">OSB = −1,000 + 100 + 750 = −$150 million</w:t>
      </w:r>
    </w:p>
    <w:p>
      <w:pPr>
        <w:spacing w:after="120" w:line="276"/>
      </w:pPr>
      <w:r>
        <w:rPr>
          <w:rFonts w:ascii="Times New Roman" w:cs="Times New Roman" w:eastAsia="Times New Roman" w:hAnsi="Times New Roman"/>
          <w:sz w:val="24"/>
          <w:szCs w:val="24"/>
        </w:rPr>
        <w:t xml:space="preserve">Since OSB &lt; 0, the central bank’s foreign reserves decreased by $150 million. The central bank had to sell foreign reserves to finance the gap between the current/capital account deficit and private capital inflows.</w:t>
      </w:r>
    </w:p>
    <w:p>
      <w:pPr>
        <w:spacing w:after="120" w:line="276"/>
      </w:pPr>
      <w:r>
        <w:rPr>
          <w:rFonts w:ascii="Times New Roman" w:cs="Times New Roman" w:eastAsia="Times New Roman" w:hAnsi="Times New Roman"/>
          <w:sz w:val="24"/>
          <w:szCs w:val="24"/>
        </w:rPr>
        <w:t xml:space="preserve">Equivalently, from the BOP identity:</w:t>
      </w:r>
    </w:p>
    <w:p>
      <w:pPr>
        <w:spacing w:after="120" w:line="276"/>
        <w:jc w:val="center"/>
      </w:pPr>
      <w:r>
        <w:rPr>
          <w:rFonts w:ascii="Cambria Math" w:cs="Cambria Math" w:eastAsia="Cambria Math" w:hAnsi="Cambria Math"/>
          <w:i/>
          <w:iCs/>
          <w:sz w:val="24"/>
          <w:szCs w:val="24"/>
        </w:rPr>
        <w:t xml:space="preserve">FA(reserve) = −(CA + KA + FA(nonreserve)) = −(−1,000 + 100 + 750) = +150</w:t>
      </w:r>
    </w:p>
    <w:p>
      <w:pPr>
        <w:spacing w:after="120" w:line="276"/>
      </w:pPr>
      <w:r>
        <w:rPr>
          <w:rFonts w:ascii="Times New Roman" w:cs="Times New Roman" w:eastAsia="Times New Roman" w:hAnsi="Times New Roman"/>
          <w:sz w:val="24"/>
          <w:szCs w:val="24"/>
        </w:rPr>
        <w:t xml:space="preserve">FA(reserve) = +$150 million means net inflow of reserves (the central bank sold foreign reserves worth $150 million to domestic or foreign agents, constituting a capital inflow into Ikonomia).</w:t>
      </w:r>
    </w:p>
    <w:p>
      <w:pPr>
        <w:pStyle w:val="Heading2"/>
        <w:spacing w:after="200" w:before="300"/>
      </w:pPr>
      <w:r>
        <w:rPr>
          <w:rFonts w:ascii="Times New Roman" w:cs="Times New Roman" w:eastAsia="Times New Roman" w:hAnsi="Times New Roman"/>
          <w:b/>
          <w:bCs/>
          <w:sz w:val="28"/>
          <w:szCs w:val="28"/>
        </w:rPr>
        <w:t xml:space="preserve">2.3  Income of Foreign Factors in Ikonomia</w:t>
      </w:r>
    </w:p>
    <w:p>
      <w:pPr>
        <w:spacing w:after="120" w:line="276"/>
      </w:pPr>
      <w:r>
        <w:rPr>
          <w:rFonts w:ascii="Times New Roman" w:cs="Times New Roman" w:eastAsia="Times New Roman" w:hAnsi="Times New Roman"/>
          <w:sz w:val="24"/>
          <w:szCs w:val="24"/>
        </w:rPr>
        <w:t xml:space="preserve">The current account is:</w:t>
      </w:r>
    </w:p>
    <w:p>
      <w:pPr>
        <w:spacing w:after="120" w:line="276"/>
        <w:jc w:val="center"/>
      </w:pPr>
      <w:r>
        <w:rPr>
          <w:rFonts w:ascii="Cambria Math" w:cs="Cambria Math" w:eastAsia="Cambria Math" w:hAnsi="Cambria Math"/>
          <w:i/>
          <w:iCs/>
          <w:sz w:val="24"/>
          <w:szCs w:val="24"/>
        </w:rPr>
        <w:t xml:space="preserve">CA = NX + NIFA + NUT</w:t>
      </w:r>
    </w:p>
    <w:p>
      <w:pPr>
        <w:spacing w:after="120" w:line="276"/>
        <w:jc w:val="center"/>
      </w:pPr>
      <w:r>
        <w:rPr>
          <w:rFonts w:ascii="Cambria Math" w:cs="Cambria Math" w:eastAsia="Cambria Math" w:hAnsi="Cambria Math"/>
          <w:i/>
          <w:iCs/>
          <w:sz w:val="24"/>
          <w:szCs w:val="24"/>
        </w:rPr>
        <w:t xml:space="preserve">−1,000 = −800 + NIFA + 0</w:t>
      </w:r>
    </w:p>
    <w:p>
      <w:pPr>
        <w:spacing w:after="120" w:line="276"/>
        <w:jc w:val="center"/>
      </w:pPr>
      <w:r>
        <w:rPr>
          <w:rFonts w:ascii="Cambria Math" w:cs="Cambria Math" w:eastAsia="Cambria Math" w:hAnsi="Cambria Math"/>
          <w:i/>
          <w:iCs/>
          <w:sz w:val="24"/>
          <w:szCs w:val="24"/>
        </w:rPr>
        <w:t xml:space="preserve">NIFA = −$200 million</w:t>
      </w:r>
    </w:p>
    <w:p>
      <w:pPr>
        <w:spacing w:after="120" w:line="276"/>
      </w:pPr>
      <w:r>
        <w:rPr>
          <w:rFonts w:ascii="Times New Roman" w:cs="Times New Roman" w:eastAsia="Times New Roman" w:hAnsi="Times New Roman"/>
          <w:sz w:val="24"/>
          <w:szCs w:val="24"/>
        </w:rPr>
        <w:t xml:space="preserve">NIFA is defined as:</w:t>
      </w:r>
    </w:p>
    <w:p>
      <w:pPr>
        <w:spacing w:after="120" w:line="276"/>
        <w:jc w:val="center"/>
      </w:pPr>
      <w:r>
        <w:rPr>
          <w:rFonts w:ascii="Cambria Math" w:cs="Cambria Math" w:eastAsia="Cambria Math" w:hAnsi="Cambria Math"/>
          <w:i/>
          <w:iCs/>
          <w:sz w:val="24"/>
          <w:szCs w:val="24"/>
        </w:rPr>
        <w:t xml:space="preserve">NIFA = Income(domestic factors abroad) − Income(foreign factors at home)</w:t>
      </w:r>
    </w:p>
    <w:p>
      <w:pPr>
        <w:spacing w:after="120" w:line="276"/>
        <w:jc w:val="center"/>
      </w:pPr>
      <w:r>
        <w:rPr>
          <w:rFonts w:ascii="Cambria Math" w:cs="Cambria Math" w:eastAsia="Cambria Math" w:hAnsi="Cambria Math"/>
          <w:i/>
          <w:iCs/>
          <w:sz w:val="24"/>
          <w:szCs w:val="24"/>
        </w:rPr>
        <w:t xml:space="preserve">−200 = 700 − Income(foreign factors in Ikonomia)</w:t>
      </w:r>
    </w:p>
    <w:p>
      <w:pPr>
        <w:spacing w:after="120" w:line="276"/>
        <w:jc w:val="center"/>
      </w:pPr>
      <w:r>
        <w:rPr>
          <w:rFonts w:ascii="Cambria Math" w:cs="Cambria Math" w:eastAsia="Cambria Math" w:hAnsi="Cambria Math"/>
          <w:i/>
          <w:iCs/>
          <w:sz w:val="24"/>
          <w:szCs w:val="24"/>
        </w:rPr>
        <w:t xml:space="preserve">Income(foreign factors in Ikonomia) = $900 million</w:t>
      </w:r>
    </w:p>
    <w:p>
      <w:pPr>
        <w:pStyle w:val="Heading2"/>
        <w:spacing w:after="200" w:before="300"/>
      </w:pPr>
      <w:r>
        <w:rPr>
          <w:rFonts w:ascii="Times New Roman" w:cs="Times New Roman" w:eastAsia="Times New Roman" w:hAnsi="Times New Roman"/>
          <w:b/>
          <w:bCs/>
          <w:sz w:val="28"/>
          <w:szCs w:val="28"/>
        </w:rPr>
        <w:t xml:space="preserve">2.4  Net Factor Income from Abroad (NIFA)</w:t>
      </w:r>
    </w:p>
    <w:p>
      <w:pPr>
        <w:spacing w:after="120" w:line="276"/>
        <w:jc w:val="center"/>
      </w:pPr>
      <w:r>
        <w:rPr>
          <w:rFonts w:ascii="Cambria Math" w:cs="Cambria Math" w:eastAsia="Cambria Math" w:hAnsi="Cambria Math"/>
          <w:i/>
          <w:iCs/>
          <w:sz w:val="24"/>
          <w:szCs w:val="24"/>
        </w:rPr>
        <w:t xml:space="preserve">NIFA = −$200 million</w:t>
      </w:r>
    </w:p>
    <w:p>
      <w:pPr>
        <w:spacing w:after="120" w:line="276"/>
      </w:pPr>
      <w:r>
        <w:rPr>
          <w:rFonts w:ascii="Times New Roman" w:cs="Times New Roman" w:eastAsia="Times New Roman" w:hAnsi="Times New Roman"/>
          <w:sz w:val="24"/>
          <w:szCs w:val="24"/>
        </w:rPr>
        <w:t xml:space="preserve">Ikonomia pays $200 million more to foreign factors than it receives from its factors abroad.</w:t>
      </w:r>
    </w:p>
    <w:p>
      <w:pPr>
        <w:pStyle w:val="Heading2"/>
        <w:spacing w:after="200" w:before="300"/>
      </w:pPr>
      <w:r>
        <w:rPr>
          <w:rFonts w:ascii="Times New Roman" w:cs="Times New Roman" w:eastAsia="Times New Roman" w:hAnsi="Times New Roman"/>
          <w:b/>
          <w:bCs/>
          <w:sz w:val="28"/>
          <w:szCs w:val="28"/>
        </w:rPr>
        <w:t xml:space="preserve">2.5  BOP = CA + FA + KA = 0</w:t>
      </w:r>
    </w:p>
    <w:p>
      <w:pPr>
        <w:spacing w:after="120" w:line="276"/>
      </w:pPr>
      <w:r>
        <w:rPr>
          <w:rFonts w:ascii="Times New Roman" w:cs="Times New Roman" w:eastAsia="Times New Roman" w:hAnsi="Times New Roman"/>
          <w:sz w:val="24"/>
          <w:szCs w:val="24"/>
        </w:rPr>
        <w:t xml:space="preserve">Total FA:</w:t>
      </w:r>
    </w:p>
    <w:p>
      <w:pPr>
        <w:spacing w:after="120" w:line="276"/>
        <w:jc w:val="center"/>
      </w:pPr>
      <w:r>
        <w:rPr>
          <w:rFonts w:ascii="Cambria Math" w:cs="Cambria Math" w:eastAsia="Cambria Math" w:hAnsi="Cambria Math"/>
          <w:i/>
          <w:iCs/>
          <w:sz w:val="24"/>
          <w:szCs w:val="24"/>
        </w:rPr>
        <w:t xml:space="preserve">FA = FA(nonreserve) + FA(reserve) = 750 + 150 = $900 million</w:t>
      </w:r>
    </w:p>
    <w:p>
      <w:pPr>
        <w:spacing w:after="120" w:line="276"/>
      </w:pPr>
      <w:r>
        <w:rPr>
          <w:rFonts w:ascii="Times New Roman" w:cs="Times New Roman" w:eastAsia="Times New Roman" w:hAnsi="Times New Roman"/>
          <w:sz w:val="24"/>
          <w:szCs w:val="24"/>
        </w:rPr>
        <w:t xml:space="preserve">Verification:</w:t>
      </w:r>
    </w:p>
    <w:p>
      <w:pPr>
        <w:spacing w:after="120" w:line="276"/>
        <w:jc w:val="center"/>
      </w:pPr>
      <w:r>
        <w:rPr>
          <w:rFonts w:ascii="Cambria Math" w:cs="Cambria Math" w:eastAsia="Cambria Math" w:hAnsi="Cambria Math"/>
          <w:i/>
          <w:iCs/>
          <w:sz w:val="24"/>
          <w:szCs w:val="24"/>
        </w:rPr>
        <w:t xml:space="preserve">BOP = CA + FA + KA = −1,000 + 900 + 100 = 0  ✓</w:t>
      </w:r>
    </w:p>
    <w:p>
      <w:pPr>
        <w:pStyle w:val="Heading2"/>
        <w:spacing w:after="200" w:before="300"/>
      </w:pPr>
      <w:r>
        <w:rPr>
          <w:rFonts w:ascii="Times New Roman" w:cs="Times New Roman" w:eastAsia="Times New Roman" w:hAnsi="Times New Roman"/>
          <w:b/>
          <w:bCs/>
          <w:sz w:val="28"/>
          <w:szCs w:val="28"/>
        </w:rPr>
        <w:t xml:space="preserve">2.6  GNE, GNI, and GNDI</w:t>
      </w:r>
    </w:p>
    <w:p>
      <w:pPr>
        <w:spacing w:after="120" w:line="276"/>
      </w:pPr>
      <w:r>
        <w:rPr>
          <w:rFonts w:ascii="Times New Roman" w:cs="Times New Roman" w:eastAsia="Times New Roman" w:hAnsi="Times New Roman"/>
          <w:b/>
          <w:bCs/>
          <w:sz w:val="24"/>
          <w:szCs w:val="24"/>
        </w:rPr>
        <w:t xml:space="preserve">GNE:</w:t>
      </w:r>
    </w:p>
    <w:p>
      <w:pPr>
        <w:spacing w:after="120" w:line="276"/>
        <w:jc w:val="center"/>
      </w:pPr>
      <w:r>
        <w:rPr>
          <w:rFonts w:ascii="Cambria Math" w:cs="Cambria Math" w:eastAsia="Cambria Math" w:hAnsi="Cambria Math"/>
          <w:i/>
          <w:iCs/>
          <w:sz w:val="24"/>
          <w:szCs w:val="24"/>
        </w:rPr>
        <w:t xml:space="preserve">GNE = GDP − NX = 9,000 − (−800) = $9,800 million</w:t>
      </w:r>
    </w:p>
    <w:p>
      <w:pPr>
        <w:spacing w:after="120" w:line="276"/>
      </w:pPr>
      <w:r>
        <w:rPr>
          <w:rFonts w:ascii="Times New Roman" w:cs="Times New Roman" w:eastAsia="Times New Roman" w:hAnsi="Times New Roman"/>
          <w:b/>
          <w:bCs/>
          <w:sz w:val="24"/>
          <w:szCs w:val="24"/>
        </w:rPr>
        <w:t xml:space="preserve">GNI:</w:t>
      </w:r>
    </w:p>
    <w:p>
      <w:pPr>
        <w:spacing w:after="120" w:line="276"/>
        <w:jc w:val="center"/>
      </w:pPr>
      <w:r>
        <w:rPr>
          <w:rFonts w:ascii="Cambria Math" w:cs="Cambria Math" w:eastAsia="Cambria Math" w:hAnsi="Cambria Math"/>
          <w:i/>
          <w:iCs/>
          <w:sz w:val="24"/>
          <w:szCs w:val="24"/>
        </w:rPr>
        <w:t xml:space="preserve">GNI = GDP + NIFA = 9,000 + (−200) = $8,800 million</w:t>
      </w:r>
    </w:p>
    <w:p>
      <w:pPr>
        <w:spacing w:after="120" w:line="276"/>
      </w:pPr>
      <w:r>
        <w:rPr>
          <w:rFonts w:ascii="Times New Roman" w:cs="Times New Roman" w:eastAsia="Times New Roman" w:hAnsi="Times New Roman"/>
          <w:b/>
          <w:bCs/>
          <w:sz w:val="24"/>
          <w:szCs w:val="24"/>
        </w:rPr>
        <w:t xml:space="preserve">GNDI:</w:t>
      </w:r>
    </w:p>
    <w:p>
      <w:pPr>
        <w:spacing w:after="120" w:line="276"/>
        <w:jc w:val="center"/>
      </w:pPr>
      <w:r>
        <w:rPr>
          <w:rFonts w:ascii="Cambria Math" w:cs="Cambria Math" w:eastAsia="Cambria Math" w:hAnsi="Cambria Math"/>
          <w:i/>
          <w:iCs/>
          <w:sz w:val="24"/>
          <w:szCs w:val="24"/>
        </w:rPr>
        <w:t xml:space="preserve">GNDI = GNI + NUT = 8,800 + 0 = $8,800 million</w:t>
      </w:r>
    </w:p>
    <w:p>
      <w:r>
        <w:br/>
      </w:r>
    </w:p>
    <w:p>
      <w:pPr>
        <w:pStyle w:val="Heading1"/>
        <w:spacing w:after="200" w:before="300"/>
      </w:pPr>
      <w:r>
        <w:rPr>
          <w:rFonts w:ascii="Times New Roman" w:cs="Times New Roman" w:eastAsia="Times New Roman" w:hAnsi="Times New Roman"/>
          <w:b/>
          <w:bCs/>
          <w:sz w:val="32"/>
          <w:szCs w:val="32"/>
        </w:rPr>
        <w:t xml:space="preserve">Problem 3 — Exchange Rate, UIP and CIP</w:t>
      </w:r>
    </w:p>
    <w:p>
      <w:pPr>
        <w:spacing w:after="120" w:line="276"/>
      </w:pPr>
      <w:r>
        <w:rPr>
          <w:rFonts w:ascii="Times New Roman" w:cs="Times New Roman" w:eastAsia="Times New Roman" w:hAnsi="Times New Roman"/>
          <w:b/>
          <w:bCs/>
          <w:sz w:val="24"/>
          <w:szCs w:val="24"/>
        </w:rPr>
        <w:t xml:space="preserve">Given:</w:t>
      </w:r>
    </w:p>
    <w:p>
      <w:pPr>
        <w:spacing w:after="120" w:line="276"/>
      </w:pPr>
      <w:r>
        <w:rPr>
          <w:rFonts w:ascii="Times New Roman" w:cs="Times New Roman" w:eastAsia="Times New Roman" w:hAnsi="Times New Roman"/>
          <w:sz w:val="24"/>
          <w:szCs w:val="24"/>
        </w:rPr>
        <w:t xml:space="preserve">Initial investment: €1,000</w:t>
      </w:r>
    </w:p>
    <w:p>
      <w:pPr>
        <w:spacing w:after="120" w:line="276"/>
      </w:pPr>
      <w:r>
        <w:rPr>
          <w:rFonts w:ascii="Times New Roman" w:cs="Times New Roman" w:eastAsia="Times New Roman" w:hAnsi="Times New Roman"/>
          <w:sz w:val="24"/>
          <w:szCs w:val="24"/>
        </w:rPr>
        <w:t xml:space="preserve">R(GB) = 2% (British one-year deposit rate)</w:t>
      </w:r>
    </w:p>
    <w:p>
      <w:pPr>
        <w:spacing w:after="120" w:line="276"/>
      </w:pPr>
      <w:r>
        <w:rPr>
          <w:rFonts w:ascii="Times New Roman" w:cs="Times New Roman" w:eastAsia="Times New Roman" w:hAnsi="Times New Roman"/>
          <w:sz w:val="24"/>
          <w:szCs w:val="24"/>
        </w:rPr>
        <w:t xml:space="preserve">R(NL) = 4.04% (Dutch one-year deposit rate)</w:t>
      </w:r>
    </w:p>
    <w:p>
      <w:pPr>
        <w:spacing w:after="120" w:line="276"/>
      </w:pPr>
      <w:r>
        <w:rPr>
          <w:rFonts w:ascii="Times New Roman" w:cs="Times New Roman" w:eastAsia="Times New Roman" w:hAnsi="Times New Roman"/>
          <w:sz w:val="24"/>
          <w:szCs w:val="24"/>
        </w:rPr>
        <w:t xml:space="preserve">Forward rate: F = 1.575 €/£</w:t>
      </w:r>
    </w:p>
    <w:p>
      <w:pPr>
        <w:spacing w:after="120" w:line="276"/>
      </w:pPr>
      <w:r>
        <w:rPr>
          <w:rFonts w:ascii="Times New Roman" w:cs="Times New Roman" w:eastAsia="Times New Roman" w:hAnsi="Times New Roman"/>
          <w:sz w:val="24"/>
          <w:szCs w:val="24"/>
        </w:rPr>
        <w:t xml:space="preserve">Spot rate: E = 1.5 €/£</w:t>
      </w:r>
    </w:p>
    <w:p>
      <w:pPr>
        <w:pStyle w:val="Heading2"/>
        <w:spacing w:after="200" w:before="300"/>
      </w:pPr>
      <w:r>
        <w:rPr>
          <w:rFonts w:ascii="Times New Roman" w:cs="Times New Roman" w:eastAsia="Times New Roman" w:hAnsi="Times New Roman"/>
          <w:b/>
          <w:bCs/>
          <w:sz w:val="28"/>
          <w:szCs w:val="28"/>
        </w:rPr>
        <w:t xml:space="preserve">3.1  Euro-Denominated Return on Dutch Deposits</w:t>
      </w:r>
    </w:p>
    <w:p>
      <w:pPr>
        <w:spacing w:after="120" w:line="276"/>
        <w:jc w:val="center"/>
      </w:pPr>
      <w:r>
        <w:rPr>
          <w:rFonts w:ascii="Cambria Math" w:cs="Cambria Math" w:eastAsia="Cambria Math" w:hAnsi="Cambria Math"/>
          <w:i/>
          <w:iCs/>
          <w:sz w:val="24"/>
          <w:szCs w:val="24"/>
        </w:rPr>
        <w:t xml:space="preserve">Return = €1,000 × (1 + R(NL)) = €1,000 × 1.0404 = €1,040.40</w:t>
      </w:r>
    </w:p>
    <w:p>
      <w:pPr>
        <w:spacing w:after="120" w:line="276"/>
      </w:pPr>
      <w:r>
        <w:rPr>
          <w:rFonts w:ascii="Times New Roman" w:cs="Times New Roman" w:eastAsia="Times New Roman" w:hAnsi="Times New Roman"/>
          <w:b/>
          <w:bCs/>
          <w:sz w:val="24"/>
          <w:szCs w:val="24"/>
        </w:rPr>
        <w:t xml:space="preserve">Euro-denominated return = 4.04%.</w:t>
      </w:r>
    </w:p>
    <w:p>
      <w:pPr>
        <w:pStyle w:val="Heading2"/>
        <w:spacing w:after="200" w:before="300"/>
      </w:pPr>
      <w:r>
        <w:rPr>
          <w:rFonts w:ascii="Times New Roman" w:cs="Times New Roman" w:eastAsia="Times New Roman" w:hAnsi="Times New Roman"/>
          <w:b/>
          <w:bCs/>
          <w:sz w:val="28"/>
          <w:szCs w:val="28"/>
        </w:rPr>
        <w:t xml:space="preserve">3.2  Riskless Euro-Denominated Return on British Deposits (with Forward Cover)</w:t>
      </w:r>
    </w:p>
    <w:p>
      <w:pPr>
        <w:spacing w:after="120" w:line="276"/>
      </w:pPr>
      <w:r>
        <w:rPr>
          <w:rFonts w:ascii="Times New Roman" w:cs="Times New Roman" w:eastAsia="Times New Roman" w:hAnsi="Times New Roman"/>
          <w:sz w:val="24"/>
          <w:szCs w:val="24"/>
        </w:rPr>
        <w:t xml:space="preserve">Step 1: Convert euros to pounds at the spot rate:</w:t>
      </w:r>
    </w:p>
    <w:p>
      <w:pPr>
        <w:spacing w:after="120" w:line="276"/>
        <w:jc w:val="center"/>
      </w:pPr>
      <w:r>
        <w:rPr>
          <w:rFonts w:ascii="Cambria Math" w:cs="Cambria Math" w:eastAsia="Cambria Math" w:hAnsi="Cambria Math"/>
          <w:i/>
          <w:iCs/>
          <w:sz w:val="24"/>
          <w:szCs w:val="24"/>
        </w:rPr>
        <w:t xml:space="preserve">€1,000 / 1.5 = £666.67</w:t>
      </w:r>
    </w:p>
    <w:p>
      <w:pPr>
        <w:spacing w:after="120" w:line="276"/>
      </w:pPr>
      <w:r>
        <w:rPr>
          <w:rFonts w:ascii="Times New Roman" w:cs="Times New Roman" w:eastAsia="Times New Roman" w:hAnsi="Times New Roman"/>
          <w:sz w:val="24"/>
          <w:szCs w:val="24"/>
        </w:rPr>
        <w:t xml:space="preserve">Step 2: Invest in British deposit at 2%:</w:t>
      </w:r>
    </w:p>
    <w:p>
      <w:pPr>
        <w:spacing w:after="120" w:line="276"/>
        <w:jc w:val="center"/>
      </w:pPr>
      <w:r>
        <w:rPr>
          <w:rFonts w:ascii="Cambria Math" w:cs="Cambria Math" w:eastAsia="Cambria Math" w:hAnsi="Cambria Math"/>
          <w:i/>
          <w:iCs/>
          <w:sz w:val="24"/>
          <w:szCs w:val="24"/>
        </w:rPr>
        <w:t xml:space="preserve">£666.67 × 1.02 = £680.00</w:t>
      </w:r>
    </w:p>
    <w:p>
      <w:pPr>
        <w:spacing w:after="120" w:line="276"/>
      </w:pPr>
      <w:r>
        <w:rPr>
          <w:rFonts w:ascii="Times New Roman" w:cs="Times New Roman" w:eastAsia="Times New Roman" w:hAnsi="Times New Roman"/>
          <w:sz w:val="24"/>
          <w:szCs w:val="24"/>
        </w:rPr>
        <w:t xml:space="preserve">Step 3: Convert back to euros using the forward rate:</w:t>
      </w:r>
    </w:p>
    <w:p>
      <w:pPr>
        <w:spacing w:after="120" w:line="276"/>
        <w:jc w:val="center"/>
      </w:pPr>
      <w:r>
        <w:rPr>
          <w:rFonts w:ascii="Cambria Math" w:cs="Cambria Math" w:eastAsia="Cambria Math" w:hAnsi="Cambria Math"/>
          <w:i/>
          <w:iCs/>
          <w:sz w:val="24"/>
          <w:szCs w:val="24"/>
        </w:rPr>
        <w:t xml:space="preserve">£680.00 × 1.575 = €1,071.00</w:t>
      </w:r>
    </w:p>
    <w:p>
      <w:pPr>
        <w:spacing w:after="120" w:line="276"/>
      </w:pPr>
      <w:r>
        <w:rPr>
          <w:rFonts w:ascii="Times New Roman" w:cs="Times New Roman" w:eastAsia="Times New Roman" w:hAnsi="Times New Roman"/>
          <w:sz w:val="24"/>
          <w:szCs w:val="24"/>
        </w:rPr>
        <w:t xml:space="preserve">Using the exact CIP return formula:</w:t>
      </w:r>
    </w:p>
    <w:p>
      <w:pPr>
        <w:spacing w:after="120" w:line="276"/>
        <w:jc w:val="center"/>
      </w:pPr>
      <w:r>
        <w:rPr>
          <w:rFonts w:ascii="Cambria Math" w:cs="Cambria Math" w:eastAsia="Cambria Math" w:hAnsi="Cambria Math"/>
          <w:i/>
          <w:iCs/>
          <w:sz w:val="24"/>
          <w:szCs w:val="24"/>
        </w:rPr>
        <w:t xml:space="preserve">(1 + R(GB)) × F/E = 1.02 × (1.575/1.5) = 1.02 × 1.05 = 1.071</w:t>
      </w:r>
    </w:p>
    <w:p>
      <w:pPr>
        <w:spacing w:after="120" w:line="276"/>
      </w:pPr>
      <w:r>
        <w:rPr>
          <w:rFonts w:ascii="Times New Roman" w:cs="Times New Roman" w:eastAsia="Times New Roman" w:hAnsi="Times New Roman"/>
          <w:b/>
          <w:bCs/>
          <w:sz w:val="24"/>
          <w:szCs w:val="24"/>
        </w:rPr>
        <w:t xml:space="preserve">Riskless euro-denominated return on British deposits = 7.1%.</w:t>
      </w:r>
    </w:p>
    <w:p>
      <w:pPr>
        <w:pStyle w:val="Heading2"/>
        <w:spacing w:after="200" w:before="300"/>
      </w:pPr>
      <w:r>
        <w:rPr>
          <w:rFonts w:ascii="Times New Roman" w:cs="Times New Roman" w:eastAsia="Times New Roman" w:hAnsi="Times New Roman"/>
          <w:b/>
          <w:bCs/>
          <w:sz w:val="28"/>
          <w:szCs w:val="28"/>
        </w:rPr>
        <w:t xml:space="preserve">3.3  Arbitrage Opportunity</w:t>
      </w:r>
    </w:p>
    <w:p>
      <w:pPr>
        <w:spacing w:after="120" w:line="276"/>
      </w:pPr>
      <w:r>
        <w:rPr>
          <w:rFonts w:ascii="Times New Roman" w:cs="Times New Roman" w:eastAsia="Times New Roman" w:hAnsi="Times New Roman"/>
          <w:sz w:val="24"/>
          <w:szCs w:val="24"/>
        </w:rPr>
        <w:t xml:space="preserve">Yes, there is an arbitrage opportunity. The covered return on British deposits (7.1%) strictly exceeds the return on Dutch deposits (4.04%). An investor can:</w:t>
      </w:r>
    </w:p>
    <w:p>
      <w:pPr>
        <w:spacing w:after="120" w:line="276"/>
      </w:pPr>
      <w:r>
        <w:rPr>
          <w:rFonts w:ascii="Times New Roman" w:cs="Times New Roman" w:eastAsia="Times New Roman" w:hAnsi="Times New Roman"/>
          <w:sz w:val="24"/>
          <w:szCs w:val="24"/>
        </w:rPr>
        <w:t xml:space="preserve">(i) Borrow in the Netherlands at 4.04%.</w:t>
      </w:r>
    </w:p>
    <w:p>
      <w:pPr>
        <w:spacing w:after="120" w:line="276"/>
      </w:pPr>
      <w:r>
        <w:rPr>
          <w:rFonts w:ascii="Times New Roman" w:cs="Times New Roman" w:eastAsia="Times New Roman" w:hAnsi="Times New Roman"/>
          <w:sz w:val="24"/>
          <w:szCs w:val="24"/>
        </w:rPr>
        <w:t xml:space="preserve">(ii) Convert to pounds at the spot rate, invest in a British deposit at 2%.</w:t>
      </w:r>
    </w:p>
    <w:p>
      <w:pPr>
        <w:spacing w:after="120" w:line="276"/>
      </w:pPr>
      <w:r>
        <w:rPr>
          <w:rFonts w:ascii="Times New Roman" w:cs="Times New Roman" w:eastAsia="Times New Roman" w:hAnsi="Times New Roman"/>
          <w:sz w:val="24"/>
          <w:szCs w:val="24"/>
        </w:rPr>
        <w:t xml:space="preserve">(iii) Sell the pound proceeds forward at F = 1.575 €/£.</w:t>
      </w:r>
    </w:p>
    <w:p>
      <w:pPr>
        <w:spacing w:after="120" w:line="276"/>
      </w:pPr>
      <w:r>
        <w:rPr>
          <w:rFonts w:ascii="Times New Roman" w:cs="Times New Roman" w:eastAsia="Times New Roman" w:hAnsi="Times New Roman"/>
          <w:sz w:val="24"/>
          <w:szCs w:val="24"/>
        </w:rPr>
        <w:t xml:space="preserve">(iv) Earn a riskless profit of 7.1% − 4.04% = 3.06%.</w:t>
      </w:r>
    </w:p>
    <w:p>
      <w:pPr>
        <w:spacing w:after="120" w:line="276"/>
      </w:pPr>
      <w:r>
        <w:rPr>
          <w:rFonts w:ascii="Times New Roman" w:cs="Times New Roman" w:eastAsia="Times New Roman" w:hAnsi="Times New Roman"/>
          <w:sz w:val="24"/>
          <w:szCs w:val="24"/>
        </w:rPr>
        <w:t xml:space="preserve">This is NOT an equilibrium in the forward exchange rate market because covered interest parity (CIP) does not hold. In equilibrium, arbitrage would drive the forward rate to a level where the covered returns are equalized.</w:t>
      </w:r>
    </w:p>
    <w:p>
      <w:pPr>
        <w:pStyle w:val="Heading2"/>
        <w:spacing w:after="200" w:before="300"/>
      </w:pPr>
      <w:r>
        <w:rPr>
          <w:rFonts w:ascii="Times New Roman" w:cs="Times New Roman" w:eastAsia="Times New Roman" w:hAnsi="Times New Roman"/>
          <w:b/>
          <w:bCs/>
          <w:sz w:val="28"/>
          <w:szCs w:val="28"/>
        </w:rPr>
        <w:t xml:space="preserve">3.4  Equilibrium Forward Rate (CIP)</w:t>
      </w:r>
    </w:p>
    <w:p>
      <w:pPr>
        <w:spacing w:after="120" w:line="276"/>
      </w:pPr>
      <w:r>
        <w:rPr>
          <w:rFonts w:ascii="Times New Roman" w:cs="Times New Roman" w:eastAsia="Times New Roman" w:hAnsi="Times New Roman"/>
          <w:sz w:val="24"/>
          <w:szCs w:val="24"/>
        </w:rPr>
        <w:t xml:space="preserve">CIP requires:</w:t>
      </w:r>
    </w:p>
    <w:p>
      <w:pPr>
        <w:spacing w:after="120" w:line="276"/>
        <w:jc w:val="center"/>
      </w:pPr>
      <w:r>
        <w:rPr>
          <w:rFonts w:ascii="Cambria Math" w:cs="Cambria Math" w:eastAsia="Cambria Math" w:hAnsi="Cambria Math"/>
          <w:i/>
          <w:iCs/>
          <w:sz w:val="24"/>
          <w:szCs w:val="24"/>
        </w:rPr>
        <w:t xml:space="preserve">1 + R(NL) = (1 + R(GB)) × F/E</w:t>
      </w:r>
    </w:p>
    <w:p>
      <w:pPr>
        <w:spacing w:after="120" w:line="276"/>
        <w:jc w:val="center"/>
      </w:pPr>
      <w:r>
        <w:rPr>
          <w:rFonts w:ascii="Cambria Math" w:cs="Cambria Math" w:eastAsia="Cambria Math" w:hAnsi="Cambria Math"/>
          <w:i/>
          <w:iCs/>
          <w:sz w:val="24"/>
          <w:szCs w:val="24"/>
        </w:rPr>
        <w:t xml:space="preserve">F = E × (1 + R(NL)) / (1 + R(GB))</w:t>
      </w:r>
    </w:p>
    <w:p>
      <w:pPr>
        <w:spacing w:after="120" w:line="276"/>
        <w:jc w:val="center"/>
      </w:pPr>
      <w:r>
        <w:rPr>
          <w:rFonts w:ascii="Cambria Math" w:cs="Cambria Math" w:eastAsia="Cambria Math" w:hAnsi="Cambria Math"/>
          <w:i/>
          <w:iCs/>
          <w:sz w:val="24"/>
          <w:szCs w:val="24"/>
        </w:rPr>
        <w:t xml:space="preserve">F = 1.5 × 1.0404 / 1.02 = 1.5 × 1.02 = 1.53 €/£</w:t>
      </w:r>
    </w:p>
    <w:p>
      <w:pPr>
        <w:spacing w:after="120" w:line="276"/>
      </w:pPr>
      <w:r>
        <w:rPr>
          <w:rFonts w:ascii="Times New Roman" w:cs="Times New Roman" w:eastAsia="Times New Roman" w:hAnsi="Times New Roman"/>
          <w:b/>
          <w:bCs/>
          <w:sz w:val="24"/>
          <w:szCs w:val="24"/>
        </w:rPr>
        <w:t xml:space="preserve">Equilibrium forward rate: F = 1.53 €/£.</w:t>
      </w:r>
    </w:p>
    <w:p>
      <w:pPr>
        <w:pStyle w:val="Heading2"/>
        <w:spacing w:after="200" w:before="300"/>
      </w:pPr>
      <w:r>
        <w:rPr>
          <w:rFonts w:ascii="Times New Roman" w:cs="Times New Roman" w:eastAsia="Times New Roman" w:hAnsi="Times New Roman"/>
          <w:b/>
          <w:bCs/>
          <w:sz w:val="28"/>
          <w:szCs w:val="28"/>
        </w:rPr>
        <w:t xml:space="preserve">3.5  Forward Premium on the British Pound</w:t>
      </w:r>
    </w:p>
    <w:p>
      <w:pPr>
        <w:spacing w:after="120" w:line="276"/>
      </w:pPr>
      <w:r>
        <w:rPr>
          <w:rFonts w:ascii="Times New Roman" w:cs="Times New Roman" w:eastAsia="Times New Roman" w:hAnsi="Times New Roman"/>
          <w:sz w:val="24"/>
          <w:szCs w:val="24"/>
        </w:rPr>
        <w:t xml:space="preserve">Using F = 1.53 (from CIP):</w:t>
      </w:r>
    </w:p>
    <w:p>
      <w:pPr>
        <w:spacing w:after="120" w:line="276"/>
        <w:jc w:val="center"/>
      </w:pPr>
      <w:r>
        <w:rPr>
          <w:rFonts w:ascii="Cambria Math" w:cs="Cambria Math" w:eastAsia="Cambria Math" w:hAnsi="Cambria Math"/>
          <w:i/>
          <w:iCs/>
          <w:sz w:val="24"/>
          <w:szCs w:val="24"/>
        </w:rPr>
        <w:t xml:space="preserve">Forward premium = (F − E) / E = (1.53 − 1.5) / 1.5 = 0.03 / 1.5 = 2%</w:t>
      </w:r>
    </w:p>
    <w:p>
      <w:pPr>
        <w:spacing w:after="120" w:line="276"/>
      </w:pPr>
      <w:r>
        <w:rPr>
          <w:rFonts w:ascii="Times New Roman" w:cs="Times New Roman" w:eastAsia="Times New Roman" w:hAnsi="Times New Roman"/>
          <w:sz w:val="24"/>
          <w:szCs w:val="24"/>
        </w:rPr>
        <w:t xml:space="preserve">The forward premium is positive: the pound trades at a 2% premium in the forward market. This is because the British interest rate (2%) is lower than the Dutch rate (4.04%). Investors accept the lower British rate because they are compensated by the expected/forward appreciation of the pound. In CIP equilibrium, the forward premium exactly offsets the interest rate differential, eliminating arbitrage.</w:t>
      </w:r>
    </w:p>
    <w:p>
      <w:pPr>
        <w:pStyle w:val="Heading2"/>
        <w:spacing w:after="200" w:before="300"/>
      </w:pPr>
      <w:r>
        <w:rPr>
          <w:rFonts w:ascii="Times New Roman" w:cs="Times New Roman" w:eastAsia="Times New Roman" w:hAnsi="Times New Roman"/>
          <w:b/>
          <w:bCs/>
          <w:sz w:val="28"/>
          <w:szCs w:val="28"/>
        </w:rPr>
        <w:t xml:space="preserve">3.6  Expected Depreciation of the Euro (UIP)</w:t>
      </w:r>
    </w:p>
    <w:p>
      <w:pPr>
        <w:spacing w:after="120" w:line="276"/>
      </w:pPr>
      <w:r>
        <w:rPr>
          <w:rFonts w:ascii="Times New Roman" w:cs="Times New Roman" w:eastAsia="Times New Roman" w:hAnsi="Times New Roman"/>
          <w:sz w:val="24"/>
          <w:szCs w:val="24"/>
        </w:rPr>
        <w:t xml:space="preserve">Using the exact UIP condition:</w:t>
      </w:r>
    </w:p>
    <w:p>
      <w:pPr>
        <w:spacing w:after="120" w:line="276"/>
        <w:jc w:val="center"/>
      </w:pPr>
      <w:r>
        <w:rPr>
          <w:rFonts w:ascii="Cambria Math" w:cs="Cambria Math" w:eastAsia="Cambria Math" w:hAnsi="Cambria Math"/>
          <w:i/>
          <w:iCs/>
          <w:sz w:val="24"/>
          <w:szCs w:val="24"/>
        </w:rPr>
        <w:t xml:space="preserve">1 + R(NL) = (1 + R(GB)) × Eᵉ / E</w:t>
      </w:r>
    </w:p>
    <w:p>
      <w:pPr>
        <w:spacing w:after="120" w:line="276"/>
        <w:jc w:val="center"/>
      </w:pPr>
      <w:r>
        <w:rPr>
          <w:rFonts w:ascii="Cambria Math" w:cs="Cambria Math" w:eastAsia="Cambria Math" w:hAnsi="Cambria Math"/>
          <w:i/>
          <w:iCs/>
          <w:sz w:val="24"/>
          <w:szCs w:val="24"/>
        </w:rPr>
        <w:t xml:space="preserve">Eᵉ / E = (1 + R(NL)) / (1 + R(GB)) = 1.0404 / 1.02 = 1.02</w:t>
      </w:r>
    </w:p>
    <w:p>
      <w:pPr>
        <w:spacing w:after="120" w:line="276"/>
      </w:pPr>
      <w:r>
        <w:rPr>
          <w:rFonts w:ascii="Times New Roman" w:cs="Times New Roman" w:eastAsia="Times New Roman" w:hAnsi="Times New Roman"/>
          <w:sz w:val="24"/>
          <w:szCs w:val="24"/>
        </w:rPr>
        <w:t xml:space="preserve">Expected depreciation of the euro:</w:t>
      </w:r>
    </w:p>
    <w:p>
      <w:pPr>
        <w:spacing w:after="120" w:line="276"/>
        <w:jc w:val="center"/>
      </w:pPr>
      <w:r>
        <w:rPr>
          <w:rFonts w:ascii="Cambria Math" w:cs="Cambria Math" w:eastAsia="Cambria Math" w:hAnsi="Cambria Math"/>
          <w:i/>
          <w:iCs/>
          <w:sz w:val="24"/>
          <w:szCs w:val="24"/>
        </w:rPr>
        <w:t xml:space="preserve">(Eᵉ − E) / E = 1.02 − 1 = 2%</w:t>
      </w:r>
    </w:p>
    <w:p>
      <w:pPr>
        <w:spacing w:after="120" w:line="276"/>
      </w:pPr>
      <w:r>
        <w:rPr>
          <w:rFonts w:ascii="Times New Roman" w:cs="Times New Roman" w:eastAsia="Times New Roman" w:hAnsi="Times New Roman"/>
          <w:b/>
          <w:bCs/>
          <w:sz w:val="24"/>
          <w:szCs w:val="24"/>
        </w:rPr>
        <w:t xml:space="preserve">The euro is expected to depreciate by 2% against the pound over one year.</w:t>
      </w:r>
    </w:p>
    <w:p>
      <w:pPr>
        <w:spacing w:after="120" w:line="276"/>
      </w:pPr>
      <w:r>
        <w:rPr>
          <w:rFonts w:ascii="Times New Roman" w:cs="Times New Roman" w:eastAsia="Times New Roman" w:hAnsi="Times New Roman"/>
          <w:sz w:val="24"/>
          <w:szCs w:val="24"/>
        </w:rPr>
        <w:t xml:space="preserve">Intuition: UIP implies the same result as CIP here because, under UIP, the expected future spot rate plays the same role as the forward rate. The higher Dutch interest rate is offset by the expected depreciation of the euro.</w:t>
      </w:r>
    </w:p>
    <w:p>
      <w:pPr>
        <w:pStyle w:val="Heading2"/>
        <w:spacing w:after="200" w:before="300"/>
      </w:pPr>
      <w:r>
        <w:rPr>
          <w:rFonts w:ascii="Times New Roman" w:cs="Times New Roman" w:eastAsia="Times New Roman" w:hAnsi="Times New Roman"/>
          <w:b/>
          <w:bCs/>
          <w:sz w:val="28"/>
          <w:szCs w:val="28"/>
        </w:rPr>
        <w:t xml:space="preserve">3.7  Expected Euro–Pound Exchange Rate</w:t>
      </w:r>
    </w:p>
    <w:p>
      <w:pPr>
        <w:spacing w:after="120" w:line="276"/>
        <w:jc w:val="center"/>
      </w:pPr>
      <w:r>
        <w:rPr>
          <w:rFonts w:ascii="Cambria Math" w:cs="Cambria Math" w:eastAsia="Cambria Math" w:hAnsi="Cambria Math"/>
          <w:i/>
          <w:iCs/>
          <w:sz w:val="24"/>
          <w:szCs w:val="24"/>
        </w:rPr>
        <w:t xml:space="preserve">Eᵉ = E × 1.02 = 1.5 × 1.02 = 1.53 €/£</w:t>
      </w:r>
    </w:p>
    <w:p>
      <w:pPr>
        <w:spacing w:after="120" w:line="276"/>
      </w:pPr>
      <w:r>
        <w:rPr>
          <w:rFonts w:ascii="Times New Roman" w:cs="Times New Roman" w:eastAsia="Times New Roman" w:hAnsi="Times New Roman"/>
          <w:b/>
          <w:bCs/>
          <w:sz w:val="24"/>
          <w:szCs w:val="24"/>
        </w:rPr>
        <w:t xml:space="preserve">Expected spot rate one year ahead: Eᵉ = 1.53 €/£.</w:t>
      </w:r>
    </w:p>
    <w:p>
      <w:pPr>
        <w:spacing w:after="120" w:line="276"/>
      </w:pPr>
      <w:r>
        <w:rPr>
          <w:rFonts w:ascii="Times New Roman" w:cs="Times New Roman" w:eastAsia="Times New Roman" w:hAnsi="Times New Roman"/>
          <w:sz w:val="24"/>
          <w:szCs w:val="24"/>
        </w:rPr>
        <w:t xml:space="preserve">Under UIP, the expected future spot rate equals the CIP-implied forward rate. The euro is expected to weaken from 1.5 to 1.53 per pound.</w:t>
      </w:r>
    </w:p>
    <w:p>
      <w:r>
        <w:br/>
      </w:r>
    </w:p>
    <w:p>
      <w:pPr>
        <w:pStyle w:val="Heading1"/>
        <w:spacing w:after="200" w:before="300"/>
      </w:pPr>
      <w:r>
        <w:rPr>
          <w:rFonts w:ascii="Times New Roman" w:cs="Times New Roman" w:eastAsia="Times New Roman" w:hAnsi="Times New Roman"/>
          <w:b/>
          <w:bCs/>
          <w:sz w:val="32"/>
          <w:szCs w:val="32"/>
        </w:rPr>
        <w:t xml:space="preserve">Problem 4 — Inflation Across a Monetary Union</w:t>
      </w:r>
    </w:p>
    <w:p>
      <w:pPr>
        <w:spacing w:after="120" w:line="276"/>
      </w:pPr>
      <w:r>
        <w:rPr>
          <w:rFonts w:ascii="Times New Roman" w:cs="Times New Roman" w:eastAsia="Times New Roman" w:hAnsi="Times New Roman"/>
          <w:b/>
          <w:bCs/>
          <w:sz w:val="24"/>
          <w:szCs w:val="24"/>
        </w:rPr>
        <w:t xml:space="preserve">Context: </w:t>
      </w:r>
      <w:r>
        <w:rPr>
          <w:rFonts w:ascii="Times New Roman" w:cs="Times New Roman" w:eastAsia="Times New Roman" w:hAnsi="Times New Roman"/>
          <w:sz w:val="24"/>
          <w:szCs w:val="24"/>
        </w:rPr>
        <w:t xml:space="preserve">The West African CFA franc (XOF) is pegged to the euro and used by eight WAEMU states (Benin, Burkina Faso, Guinea-Bissau, Ivory Coast, Mali, Niger, Senegal, Togo). The peg has been maintained since 1999 at 1 EUR = 655.957 XOF.</w:t>
      </w:r>
    </w:p>
    <w:p>
      <w:pPr>
        <w:spacing w:after="120" w:line="276"/>
      </w:pPr>
      <w:r>
        <w:rPr>
          <w:rFonts w:ascii="Times New Roman" w:cs="Times New Roman" w:eastAsia="Times New Roman" w:hAnsi="Times New Roman"/>
          <w:b/>
          <w:bCs/>
          <w:sz w:val="24"/>
          <w:szCs w:val="24"/>
        </w:rPr>
        <w:t xml:space="preserve">Data source: </w:t>
      </w:r>
      <w:r>
        <w:rPr>
          <w:rFonts w:ascii="Times New Roman" w:cs="Times New Roman" w:eastAsia="Times New Roman" w:hAnsi="Times New Roman"/>
          <w:sz w:val="24"/>
          <w:szCs w:val="24"/>
        </w:rPr>
        <w:t xml:space="preserve">IMF World Economic Outlook database, average consumer price inflation (annual percent change).</w:t>
      </w:r>
    </w:p>
    <w:p>
      <w:pPr>
        <w:pStyle w:val="Heading2"/>
        <w:spacing w:after="200" w:before="300"/>
      </w:pPr>
      <w:r>
        <w:rPr>
          <w:rFonts w:ascii="Times New Roman" w:cs="Times New Roman" w:eastAsia="Times New Roman" w:hAnsi="Times New Roman"/>
          <w:b/>
          <w:bCs/>
          <w:sz w:val="28"/>
          <w:szCs w:val="28"/>
        </w:rPr>
        <w:t xml:space="preserve">Observations</w:t>
      </w:r>
    </w:p>
    <w:p>
      <w:pPr>
        <w:spacing w:after="120" w:line="276"/>
      </w:pPr>
      <w:r>
        <w:rPr>
          <w:rFonts w:ascii="Times New Roman" w:cs="Times New Roman" w:eastAsia="Times New Roman" w:hAnsi="Times New Roman"/>
          <w:sz w:val="24"/>
          <w:szCs w:val="24"/>
        </w:rPr>
        <w:t xml:space="preserve">1. CFA franc zone countries have significantly lower inflation than the Sub-Saharan Africa average. Over the past two decades, average inflation in Sub-Saharan Africa has typically ranged from 8–15% (and sometimes higher for individual countries), while WAEMU member states have generally maintained inflation between 1–4%.</w:t>
      </w:r>
    </w:p>
    <w:p>
      <w:pPr>
        <w:spacing w:after="120" w:line="276"/>
      </w:pPr>
      <w:r>
        <w:rPr>
          <w:rFonts w:ascii="Times New Roman" w:cs="Times New Roman" w:eastAsia="Times New Roman" w:hAnsi="Times New Roman"/>
          <w:sz w:val="24"/>
          <w:szCs w:val="24"/>
        </w:rPr>
        <w:t xml:space="preserve">2. Inflation in the CFA zone is closer to Eurozone inflation levels than to Sub-Saharan Africa levels, though it does not match them exactly.</w:t>
      </w:r>
    </w:p>
    <w:p>
      <w:pPr>
        <w:spacing w:after="120" w:line="276"/>
      </w:pPr>
      <w:r>
        <w:rPr>
          <w:rFonts w:ascii="Times New Roman" w:cs="Times New Roman" w:eastAsia="Times New Roman" w:hAnsi="Times New Roman"/>
          <w:sz w:val="24"/>
          <w:szCs w:val="24"/>
        </w:rPr>
        <w:t xml:space="preserve">3. Within the CFA zone, there is some cross-country variation, but all members maintain relatively low and stable inflation compared to the broader Sub-Saharan group.</w:t>
      </w:r>
    </w:p>
    <w:p>
      <w:pPr>
        <w:pStyle w:val="Heading2"/>
        <w:spacing w:after="200" w:before="300"/>
      </w:pPr>
      <w:r>
        <w:rPr>
          <w:rFonts w:ascii="Times New Roman" w:cs="Times New Roman" w:eastAsia="Times New Roman" w:hAnsi="Times New Roman"/>
          <w:b/>
          <w:bCs/>
          <w:sz w:val="28"/>
          <w:szCs w:val="28"/>
        </w:rPr>
        <w:t xml:space="preserve">Explanation</w:t>
      </w:r>
    </w:p>
    <w:p>
      <w:pPr>
        <w:spacing w:after="120" w:line="276"/>
      </w:pPr>
      <w:r>
        <w:rPr>
          <w:rFonts w:ascii="Times New Roman" w:cs="Times New Roman" w:eastAsia="Times New Roman" w:hAnsi="Times New Roman"/>
          <w:sz w:val="24"/>
          <w:szCs w:val="24"/>
        </w:rPr>
        <w:t xml:space="preserve">The hard peg to the euro (and before it, the French franc) imposes a strong nominal anchor on the CFA zone economies:</w:t>
      </w:r>
    </w:p>
    <w:p>
      <w:pPr>
        <w:spacing w:after="120" w:line="276"/>
      </w:pPr>
      <w:r>
        <w:rPr>
          <w:rFonts w:ascii="Times New Roman" w:cs="Times New Roman" w:eastAsia="Times New Roman" w:hAnsi="Times New Roman"/>
          <w:sz w:val="24"/>
          <w:szCs w:val="24"/>
        </w:rPr>
        <w:t xml:space="preserve">(i) Monetary policy discipline: The West African Central Bank (BCEAO) cannot pursue independent monetary expansion. The peg constrains money supply growth, which in turn constrains inflation. This eliminates the possibility of seigniorage-driven inflation that affects many Sub-Saharan economies.</w:t>
      </w:r>
    </w:p>
    <w:p>
      <w:pPr>
        <w:spacing w:after="120" w:line="276"/>
      </w:pPr>
      <w:r>
        <w:rPr>
          <w:rFonts w:ascii="Times New Roman" w:cs="Times New Roman" w:eastAsia="Times New Roman" w:hAnsi="Times New Roman"/>
          <w:sz w:val="24"/>
          <w:szCs w:val="24"/>
        </w:rPr>
        <w:t xml:space="preserve">(ii) Purchasing power parity linkage: Under a fixed exchange rate, relative PPP implies that the domestic inflation rate must approximately equal the foreign (Eurozone) inflation rate plus any changes in the real exchange rate. Since the peg is credible and maintained, CFA inflation tends to track Euro-area inflation.</w:t>
      </w:r>
    </w:p>
    <w:p>
      <w:pPr>
        <w:spacing w:after="120" w:line="276"/>
      </w:pPr>
      <w:r>
        <w:rPr>
          <w:rFonts w:ascii="Times New Roman" w:cs="Times New Roman" w:eastAsia="Times New Roman" w:hAnsi="Times New Roman"/>
          <w:sz w:val="24"/>
          <w:szCs w:val="24"/>
        </w:rPr>
        <w:t xml:space="preserve">(iii) Imported credibility: The peg effectively imports the ECB’s anti-inflationary credibility. Economic agents in the CFA zone expect low inflation because they know the central bank cannot monetize fiscal deficits, which anchors inflation expectations.</w:t>
      </w:r>
    </w:p>
    <w:p>
      <w:pPr>
        <w:spacing w:after="120" w:line="276"/>
      </w:pPr>
      <w:r>
        <w:rPr>
          <w:rFonts w:ascii="Times New Roman" w:cs="Times New Roman" w:eastAsia="Times New Roman" w:hAnsi="Times New Roman"/>
          <w:sz w:val="24"/>
          <w:szCs w:val="24"/>
        </w:rPr>
        <w:t xml:space="preserve">(iv) Residual differences: The remaining gap between CFA inflation and Eurozone inflation reflects local supply shocks (food prices, oil), differences in the consumption basket, and Balassa-Samuelson effects (nontradable goods prices growing faster in developing economies with rapid productivity growth in tradables).</w:t>
      </w:r>
    </w:p>
    <w:p>
      <w:r>
        <w:br/>
      </w:r>
    </w:p>
    <w:p>
      <w:pPr>
        <w:pStyle w:val="Heading1"/>
        <w:spacing w:after="200" w:before="300"/>
      </w:pPr>
      <w:r>
        <w:rPr>
          <w:rFonts w:ascii="Times New Roman" w:cs="Times New Roman" w:eastAsia="Times New Roman" w:hAnsi="Times New Roman"/>
          <w:b/>
          <w:bCs/>
          <w:sz w:val="32"/>
          <w:szCs w:val="32"/>
        </w:rPr>
        <w:t xml:space="preserve">Problem 5 — Real Exchange Rate</w:t>
      </w:r>
    </w:p>
    <w:p>
      <w:pPr>
        <w:spacing w:after="120" w:line="276"/>
      </w:pPr>
      <w:r>
        <w:rPr>
          <w:rFonts w:ascii="Times New Roman" w:cs="Times New Roman" w:eastAsia="Times New Roman" w:hAnsi="Times New Roman"/>
          <w:sz w:val="24"/>
          <w:szCs w:val="24"/>
        </w:rPr>
        <w:t xml:space="preserve">The real interest rate parity condition (derived from UIP and the definition of the real exchange rate) states:</w:t>
      </w:r>
    </w:p>
    <w:p>
      <w:pPr>
        <w:spacing w:after="120" w:line="276"/>
        <w:jc w:val="center"/>
      </w:pPr>
      <w:r>
        <w:rPr>
          <w:rFonts w:ascii="Cambria Math" w:cs="Cambria Math" w:eastAsia="Cambria Math" w:hAnsi="Cambria Math"/>
          <w:i/>
          <w:iCs/>
          <w:sz w:val="24"/>
          <w:szCs w:val="24"/>
        </w:rPr>
        <w:t xml:space="preserve">r − r* = (qᵉ − q) / q</w:t>
      </w:r>
    </w:p>
    <w:p>
      <w:pPr>
        <w:spacing w:after="120" w:line="276"/>
      </w:pPr>
      <w:r>
        <w:rPr>
          <w:rFonts w:ascii="Times New Roman" w:cs="Times New Roman" w:eastAsia="Times New Roman" w:hAnsi="Times New Roman"/>
          <w:sz w:val="24"/>
          <w:szCs w:val="24"/>
        </w:rPr>
        <w:t xml:space="preserve">where r is the domestic real interest rate, r* is the foreign real interest rate, q is the real exchange rate (domestic currency per foreign currency), and qᵉ is the expected future real exchange rate.</w:t>
      </w:r>
    </w:p>
    <w:p>
      <w:pPr>
        <w:pStyle w:val="Heading2"/>
        <w:spacing w:after="200" w:before="300"/>
      </w:pPr>
      <w:r>
        <w:rPr>
          <w:rFonts w:ascii="Times New Roman" w:cs="Times New Roman" w:eastAsia="Times New Roman" w:hAnsi="Times New Roman"/>
          <w:b/>
          <w:bCs/>
          <w:sz w:val="28"/>
          <w:szCs w:val="28"/>
        </w:rPr>
        <w:t xml:space="preserve">5.1  Hong Kong vs. Singapore</w:t>
      </w:r>
    </w:p>
    <w:p>
      <w:pPr>
        <w:spacing w:after="120" w:line="276"/>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r(HK) = 5%, r(SNG) = 2%.</w:t>
      </w:r>
    </w:p>
    <w:p>
      <w:pPr>
        <w:spacing w:after="120" w:line="276"/>
      </w:pPr>
      <w:r>
        <w:rPr>
          <w:rFonts w:ascii="Times New Roman" w:cs="Times New Roman" w:eastAsia="Times New Roman" w:hAnsi="Times New Roman"/>
          <w:sz w:val="24"/>
          <w:szCs w:val="24"/>
        </w:rPr>
        <w:t xml:space="preserve">Let q = real HK$/SNG exchange rate (HK$ per Singapore dollar). Hong Kong is the home country.</w:t>
      </w:r>
    </w:p>
    <w:p>
      <w:pPr>
        <w:spacing w:after="120" w:line="276"/>
        <w:jc w:val="center"/>
      </w:pPr>
      <w:r>
        <w:rPr>
          <w:rFonts w:ascii="Cambria Math" w:cs="Cambria Math" w:eastAsia="Cambria Math" w:hAnsi="Cambria Math"/>
          <w:i/>
          <w:iCs/>
          <w:sz w:val="24"/>
          <w:szCs w:val="24"/>
        </w:rPr>
        <w:t xml:space="preserve">r(HK) − r(SNG) = (qᵉ − q) / q</w:t>
      </w:r>
    </w:p>
    <w:p>
      <w:pPr>
        <w:spacing w:after="120" w:line="276"/>
        <w:jc w:val="center"/>
      </w:pPr>
      <w:r>
        <w:rPr>
          <w:rFonts w:ascii="Cambria Math" w:cs="Cambria Math" w:eastAsia="Cambria Math" w:hAnsi="Cambria Math"/>
          <w:i/>
          <w:iCs/>
          <w:sz w:val="24"/>
          <w:szCs w:val="24"/>
        </w:rPr>
        <w:t xml:space="preserve">5% − 2% = (qᵉ − q) / q</w:t>
      </w:r>
    </w:p>
    <w:p>
      <w:pPr>
        <w:spacing w:after="120" w:line="276"/>
        <w:jc w:val="center"/>
      </w:pPr>
      <w:r>
        <w:rPr>
          <w:rFonts w:ascii="Cambria Math" w:cs="Cambria Math" w:eastAsia="Cambria Math" w:hAnsi="Cambria Math"/>
          <w:i/>
          <w:iCs/>
          <w:sz w:val="24"/>
          <w:szCs w:val="24"/>
        </w:rPr>
        <w:t xml:space="preserve">(qᵉ − q) / q = +3%</w:t>
      </w:r>
    </w:p>
    <w:p>
      <w:pPr>
        <w:spacing w:after="120" w:line="276"/>
      </w:pPr>
      <w:r>
        <w:rPr>
          <w:rFonts w:ascii="Times New Roman" w:cs="Times New Roman" w:eastAsia="Times New Roman" w:hAnsi="Times New Roman"/>
          <w:sz w:val="24"/>
          <w:szCs w:val="24"/>
        </w:rPr>
        <w:t xml:space="preserve">The real HK$/SNG exchange rate is expected to rise by 3%. Since q is measured as HK$ per SNG dollar, an increase in q means the Hong Kong dollar depreciates in real terms against the Singapore dollar. Equivalently, Singapore goods become relatively more expensive.</w:t>
      </w:r>
    </w:p>
    <w:p>
      <w:pPr>
        <w:spacing w:after="120" w:line="276"/>
      </w:pPr>
      <w:r>
        <w:rPr>
          <w:rFonts w:ascii="Times New Roman" w:cs="Times New Roman" w:eastAsia="Times New Roman" w:hAnsi="Times New Roman"/>
          <w:sz w:val="24"/>
          <w:szCs w:val="24"/>
        </w:rPr>
        <w:t xml:space="preserve">Intuition: The higher real return in Hong Kong compensates investors for the expected real depreciation of the HK dollar. If the HK dollar were not expected to depreciate, all investors would prefer HK assets, driving down the HK real interest rate.</w:t>
      </w:r>
    </w:p>
    <w:p>
      <w:pPr>
        <w:pStyle w:val="Heading2"/>
        <w:spacing w:after="200" w:before="300"/>
      </w:pPr>
      <w:r>
        <w:rPr>
          <w:rFonts w:ascii="Times New Roman" w:cs="Times New Roman" w:eastAsia="Times New Roman" w:hAnsi="Times New Roman"/>
          <w:b/>
          <w:bCs/>
          <w:sz w:val="28"/>
          <w:szCs w:val="28"/>
        </w:rPr>
        <w:t xml:space="preserve">5.2  United States vs. Europe</w:t>
      </w:r>
    </w:p>
    <w:p>
      <w:pPr>
        <w:spacing w:after="120" w:line="276"/>
      </w:pPr>
      <w:r>
        <w:rPr>
          <w:rFonts w:ascii="Times New Roman" w:cs="Times New Roman" w:eastAsia="Times New Roman" w:hAnsi="Times New Roman"/>
          <w:b/>
          <w:bCs/>
          <w:sz w:val="24"/>
          <w:szCs w:val="24"/>
        </w:rPr>
        <w:t xml:space="preserve">Given: </w:t>
      </w:r>
      <w:r>
        <w:rPr>
          <w:rFonts w:ascii="Times New Roman" w:cs="Times New Roman" w:eastAsia="Times New Roman" w:hAnsi="Times New Roman"/>
          <w:sz w:val="24"/>
          <w:szCs w:val="24"/>
        </w:rPr>
        <w:t xml:space="preserve">r(US) = 9%, r(EU) = 3%.</w:t>
      </w:r>
    </w:p>
    <w:p>
      <w:pPr>
        <w:spacing w:after="120" w:line="276"/>
      </w:pPr>
      <w:r>
        <w:rPr>
          <w:rFonts w:ascii="Times New Roman" w:cs="Times New Roman" w:eastAsia="Times New Roman" w:hAnsi="Times New Roman"/>
          <w:sz w:val="24"/>
          <w:szCs w:val="24"/>
        </w:rPr>
        <w:t xml:space="preserve">Let q = real $/€ exchange rate (dollars per euro). The US is the home country.</w:t>
      </w:r>
    </w:p>
    <w:p>
      <w:pPr>
        <w:spacing w:after="120" w:line="276"/>
        <w:jc w:val="center"/>
      </w:pPr>
      <w:r>
        <w:rPr>
          <w:rFonts w:ascii="Cambria Math" w:cs="Cambria Math" w:eastAsia="Cambria Math" w:hAnsi="Cambria Math"/>
          <w:i/>
          <w:iCs/>
          <w:sz w:val="24"/>
          <w:szCs w:val="24"/>
        </w:rPr>
        <w:t xml:space="preserve">r(US) − r(EU) = (qᵉ − q) / q</w:t>
      </w:r>
    </w:p>
    <w:p>
      <w:pPr>
        <w:spacing w:after="120" w:line="276"/>
        <w:jc w:val="center"/>
      </w:pPr>
      <w:r>
        <w:rPr>
          <w:rFonts w:ascii="Cambria Math" w:cs="Cambria Math" w:eastAsia="Cambria Math" w:hAnsi="Cambria Math"/>
          <w:i/>
          <w:iCs/>
          <w:sz w:val="24"/>
          <w:szCs w:val="24"/>
        </w:rPr>
        <w:t xml:space="preserve">9% − 3% = (qᵉ − q) / q</w:t>
      </w:r>
    </w:p>
    <w:p>
      <w:pPr>
        <w:spacing w:after="120" w:line="276"/>
        <w:jc w:val="center"/>
      </w:pPr>
      <w:r>
        <w:rPr>
          <w:rFonts w:ascii="Cambria Math" w:cs="Cambria Math" w:eastAsia="Cambria Math" w:hAnsi="Cambria Math"/>
          <w:i/>
          <w:iCs/>
          <w:sz w:val="24"/>
          <w:szCs w:val="24"/>
        </w:rPr>
        <w:t xml:space="preserve">(qᵉ − q) / q = +6%</w:t>
      </w:r>
    </w:p>
    <w:p>
      <w:pPr>
        <w:spacing w:after="120" w:line="276"/>
      </w:pPr>
      <w:r>
        <w:rPr>
          <w:rFonts w:ascii="Times New Roman" w:cs="Times New Roman" w:eastAsia="Times New Roman" w:hAnsi="Times New Roman"/>
          <w:sz w:val="24"/>
          <w:szCs w:val="24"/>
        </w:rPr>
        <w:t xml:space="preserve">The real $/€ exchange rate is expected to rise by 6%. The dollar is expected to depreciate in real terms against the euro by 6% over the next year. European goods will become relatively more expensive in dollar terms.</w:t>
      </w:r>
    </w:p>
    <w:p>
      <w:pPr>
        <w:spacing w:after="120" w:line="276"/>
      </w:pPr>
      <w:r>
        <w:rPr>
          <w:rFonts w:ascii="Times New Roman" w:cs="Times New Roman" w:eastAsia="Times New Roman" w:hAnsi="Times New Roman"/>
          <w:sz w:val="24"/>
          <w:szCs w:val="24"/>
        </w:rPr>
        <w:t xml:space="preserve">Intuition: The substantial US real interest rate premium (6 percentage points) must be offset by an expected real depreciation of the dollar. Otherwise, capital would flow into the US, appreciating the dollar and lowering US real returns until parity is restored.</w:t>
      </w:r>
    </w:p>
    <w:p>
      <w:r>
        <w:br/>
      </w:r>
    </w:p>
    <w:p>
      <w:pPr>
        <w:pStyle w:val="Heading1"/>
        <w:spacing w:after="200" w:before="300"/>
      </w:pPr>
      <w:r>
        <w:rPr>
          <w:rFonts w:ascii="Times New Roman" w:cs="Times New Roman" w:eastAsia="Times New Roman" w:hAnsi="Times New Roman"/>
          <w:b/>
          <w:bCs/>
          <w:sz w:val="32"/>
          <w:szCs w:val="32"/>
        </w:rPr>
        <w:t xml:space="preserve">Problem 6 — Shifting Curves (DD-AA Model)</w:t>
      </w:r>
    </w:p>
    <w:p>
      <w:pPr>
        <w:pStyle w:val="Heading2"/>
        <w:spacing w:after="200" w:before="300"/>
      </w:pPr>
      <w:r>
        <w:rPr>
          <w:rFonts w:ascii="Times New Roman" w:cs="Times New Roman" w:eastAsia="Times New Roman" w:hAnsi="Times New Roman"/>
          <w:b/>
          <w:bCs/>
          <w:sz w:val="28"/>
          <w:szCs w:val="28"/>
        </w:rPr>
        <w:t xml:space="preserve">6.1  The DD Curve</w:t>
      </w:r>
    </w:p>
    <w:p>
      <w:pPr>
        <w:spacing w:after="120" w:line="276"/>
      </w:pPr>
      <w:r>
        <w:rPr>
          <w:rFonts w:ascii="Times New Roman" w:cs="Times New Roman" w:eastAsia="Times New Roman" w:hAnsi="Times New Roman"/>
          <w:b/>
          <w:bCs/>
          <w:sz w:val="24"/>
          <w:szCs w:val="24"/>
        </w:rPr>
        <w:t xml:space="preserve">Mathematical expression:</w:t>
      </w:r>
    </w:p>
    <w:p>
      <w:pPr>
        <w:spacing w:after="120" w:line="276"/>
      </w:pPr>
      <w:r>
        <w:rPr>
          <w:rFonts w:ascii="Times New Roman" w:cs="Times New Roman" w:eastAsia="Times New Roman" w:hAnsi="Times New Roman"/>
          <w:sz w:val="24"/>
          <w:szCs w:val="24"/>
        </w:rPr>
        <w:t xml:space="preserve">The goods market equilibrium condition defines DD:</w:t>
      </w:r>
    </w:p>
    <w:p>
      <w:pPr>
        <w:spacing w:after="120" w:line="276"/>
        <w:jc w:val="center"/>
      </w:pPr>
      <w:r>
        <w:rPr>
          <w:rFonts w:ascii="Cambria Math" w:cs="Cambria Math" w:eastAsia="Cambria Math" w:hAnsi="Cambria Math"/>
          <w:i/>
          <w:iCs/>
          <w:sz w:val="24"/>
          <w:szCs w:val="24"/>
        </w:rPr>
        <w:t xml:space="preserve">Y = D(EP*/P, Y − T, I, G) = C(Y − T) + I + G + NX(EP*/P, Y − T)</w:t>
      </w:r>
    </w:p>
    <w:p>
      <w:pPr>
        <w:spacing w:after="120" w:line="276"/>
      </w:pPr>
      <w:r>
        <w:rPr>
          <w:rFonts w:ascii="Times New Roman" w:cs="Times New Roman" w:eastAsia="Times New Roman" w:hAnsi="Times New Roman"/>
          <w:sz w:val="24"/>
          <w:szCs w:val="24"/>
        </w:rPr>
        <w:t xml:space="preserve">Solving for Y as a function of E (holding P, P*, T, I, G fixed):</w:t>
      </w:r>
    </w:p>
    <w:p>
      <w:pPr>
        <w:spacing w:after="120" w:line="276"/>
        <w:jc w:val="center"/>
      </w:pPr>
      <w:r>
        <w:rPr>
          <w:rFonts w:ascii="Cambria Math" w:cs="Cambria Math" w:eastAsia="Cambria Math" w:hAnsi="Cambria Math"/>
          <w:i/>
          <w:iCs/>
          <w:sz w:val="24"/>
          <w:szCs w:val="24"/>
        </w:rPr>
        <w:t xml:space="preserve">Y = Ŷ(EP*/P, T, I, G)</w:t>
      </w:r>
    </w:p>
    <w:p>
      <w:pPr>
        <w:spacing w:after="120" w:line="276"/>
      </w:pPr>
      <w:r>
        <w:rPr>
          <w:rFonts w:ascii="Times New Roman" w:cs="Times New Roman" w:eastAsia="Times New Roman" w:hAnsi="Times New Roman"/>
          <w:sz w:val="24"/>
          <w:szCs w:val="24"/>
        </w:rPr>
        <w:t xml:space="preserve">This defines an upward-sloping relationship between E and Y in the (Y, E) plane.</w:t>
      </w:r>
    </w:p>
    <w:p>
      <w:pPr>
        <w:spacing w:after="120" w:line="276"/>
      </w:pPr>
      <w:r>
        <w:rPr>
          <w:rFonts w:ascii="Times New Roman" w:cs="Times New Roman" w:eastAsia="Times New Roman" w:hAnsi="Times New Roman"/>
          <w:b/>
          <w:bCs/>
          <w:sz w:val="24"/>
          <w:szCs w:val="24"/>
        </w:rPr>
        <w:t xml:space="preserve">Intuition: </w:t>
      </w:r>
      <w:r>
        <w:rPr>
          <w:rFonts w:ascii="Times New Roman" w:cs="Times New Roman" w:eastAsia="Times New Roman" w:hAnsi="Times New Roman"/>
          <w:sz w:val="24"/>
          <w:szCs w:val="24"/>
        </w:rPr>
        <w:t xml:space="preserve">The DD curve is the set of all (Y, E) combinations for which the goods market is in equilibrium, i.e., output equals aggregate demand. It slopes upward because a higher exchange rate E (domestic currency depreciation) improves net exports via the real exchange rate channel, raising aggregate demand and thus equilibrium output.</w:t>
      </w:r>
    </w:p>
    <w:p>
      <w:pPr>
        <w:pStyle w:val="Heading2"/>
        <w:spacing w:after="200" w:before="300"/>
      </w:pPr>
      <w:r>
        <w:rPr>
          <w:rFonts w:ascii="Times New Roman" w:cs="Times New Roman" w:eastAsia="Times New Roman" w:hAnsi="Times New Roman"/>
          <w:b/>
          <w:bCs/>
          <w:sz w:val="28"/>
          <w:szCs w:val="28"/>
        </w:rPr>
        <w:t xml:space="preserve">6.2  Shifts of the DD Curve</w:t>
      </w:r>
    </w:p>
    <w:p>
      <w:pPr>
        <w:spacing w:after="120" w:before="120"/>
        <w:jc w:val="center"/>
      </w:pPr>
      <w:r>
        <w:drawing>
          <wp:inline distT="0" distB="0" distL="0" distR="0">
            <wp:extent cx="5334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448175"/>
                    </a:xfrm>
                    <a:prstGeom prst="rect">
                      <a:avLst/>
                    </a:prstGeom>
                  </pic:spPr>
                </pic:pic>
              </a:graphicData>
            </a:graphic>
          </wp:inline>
        </w:drawing>
      </w:r>
    </w:p>
    <w:p>
      <w:pPr>
        <w:spacing w:after="120" w:line="276"/>
      </w:pPr>
      <w:r>
        <w:rPr>
          <w:rFonts w:ascii="Times New Roman" w:cs="Times New Roman" w:eastAsia="Times New Roman" w:hAnsi="Times New Roman"/>
          <w:i/>
          <w:iCs/>
          <w:sz w:val="24"/>
          <w:szCs w:val="24"/>
        </w:rPr>
        <w:t xml:space="preserve">Figure 2: DD curve — shifts and movements along.</w:t>
      </w:r>
    </w:p>
    <w:p>
      <w:pPr>
        <w:spacing w:after="120" w:line="276"/>
      </w:pPr>
      <w:r>
        <w:rPr>
          <w:rFonts w:ascii="Times New Roman" w:cs="Times New Roman" w:eastAsia="Times New Roman" w:hAnsi="Times New Roman"/>
          <w:b/>
          <w:bCs/>
          <w:sz w:val="24"/>
          <w:szCs w:val="24"/>
        </w:rPr>
        <w:t xml:space="preserve">(a) G decreases: DD shifts left (equivalently, up).</w:t>
      </w:r>
    </w:p>
    <w:p>
      <w:pPr>
        <w:spacing w:after="120" w:line="276"/>
      </w:pPr>
      <w:r>
        <w:rPr>
          <w:rFonts w:ascii="Times New Roman" w:cs="Times New Roman" w:eastAsia="Times New Roman" w:hAnsi="Times New Roman"/>
          <w:sz w:val="24"/>
          <w:szCs w:val="24"/>
        </w:rPr>
        <w:t xml:space="preserve">A decrease in government spending reduces aggregate demand at every exchange rate level. For any given E, the equilibrium Y is lower. This means the DD curve shifts to the left. Equivalently, for any given Y, a higher E (more depreciation) would be required to generate enough net export demand to compensate for the fiscal contraction. The new equilibrium (point 2) has lower Y and higher E (depreciation).</w:t>
      </w:r>
    </w:p>
    <w:p>
      <w:pPr>
        <w:spacing w:after="120" w:line="276"/>
      </w:pPr>
      <w:r>
        <w:rPr>
          <w:rFonts w:ascii="Times New Roman" w:cs="Times New Roman" w:eastAsia="Times New Roman" w:hAnsi="Times New Roman"/>
          <w:b/>
          <w:bCs/>
          <w:sz w:val="24"/>
          <w:szCs w:val="24"/>
        </w:rPr>
        <w:t xml:space="preserve">(b) E increases: movement along the DD curve (no shift).</w:t>
      </w:r>
    </w:p>
    <w:p>
      <w:pPr>
        <w:spacing w:after="120" w:line="276"/>
      </w:pPr>
      <w:r>
        <w:rPr>
          <w:rFonts w:ascii="Times New Roman" w:cs="Times New Roman" w:eastAsia="Times New Roman" w:hAnsi="Times New Roman"/>
          <w:sz w:val="24"/>
          <w:szCs w:val="24"/>
        </w:rPr>
        <w:t xml:space="preserve">E is on the vertical axis of the DD diagram. An increase in E is simply a movement along the DD curve from one point to another. Since DD describes how Y and E co-move in goods market equilibrium, a change in E traces out a new point on the same curve. No shift occurs.</w:t>
      </w:r>
    </w:p>
    <w:p>
      <w:pPr>
        <w:spacing w:after="120" w:line="276"/>
      </w:pPr>
      <w:r>
        <w:rPr>
          <w:rFonts w:ascii="Times New Roman" w:cs="Times New Roman" w:eastAsia="Times New Roman" w:hAnsi="Times New Roman"/>
          <w:b/>
          <w:bCs/>
          <w:sz w:val="24"/>
          <w:szCs w:val="24"/>
        </w:rPr>
        <w:t xml:space="preserve">(c) I increases: DD shifts right (equivalently, down).</w:t>
      </w:r>
    </w:p>
    <w:p>
      <w:pPr>
        <w:spacing w:after="120" w:line="276"/>
      </w:pPr>
      <w:r>
        <w:rPr>
          <w:rFonts w:ascii="Times New Roman" w:cs="Times New Roman" w:eastAsia="Times New Roman" w:hAnsi="Times New Roman"/>
          <w:sz w:val="24"/>
          <w:szCs w:val="24"/>
        </w:rPr>
        <w:t xml:space="preserve">An increase in private investment raises aggregate demand at every exchange rate level. For any given E, equilibrium Y is higher, so DD shifts to the right. The new equilibrium has higher Y and lower E (appreciation), because higher output raises money demand, increases the interest rate, and attracts capital inflows that appreciate the currency.</w:t>
      </w:r>
    </w:p>
    <w:p>
      <w:pPr>
        <w:spacing w:after="120" w:line="276"/>
      </w:pPr>
      <w:r>
        <w:rPr>
          <w:rFonts w:ascii="Times New Roman" w:cs="Times New Roman" w:eastAsia="Times New Roman" w:hAnsi="Times New Roman"/>
          <w:b/>
          <w:bCs/>
          <w:sz w:val="24"/>
          <w:szCs w:val="24"/>
        </w:rPr>
        <w:t xml:space="preserve">(d) Y increases: movement along the DD curve (no shift).</w:t>
      </w:r>
    </w:p>
    <w:p>
      <w:pPr>
        <w:spacing w:after="120" w:line="276"/>
      </w:pPr>
      <w:r>
        <w:rPr>
          <w:rFonts w:ascii="Times New Roman" w:cs="Times New Roman" w:eastAsia="Times New Roman" w:hAnsi="Times New Roman"/>
          <w:sz w:val="24"/>
          <w:szCs w:val="24"/>
        </w:rPr>
        <w:t xml:space="preserve">Y is on the horizontal axis. An exogenous increase in output represents a movement along the DD curve (and likely a disequilibrium if it is not driven by a change in demand). The DD curve itself does not shift; only the point on it changes.</w:t>
      </w:r>
    </w:p>
    <w:p>
      <w:pPr>
        <w:pStyle w:val="Heading2"/>
        <w:spacing w:after="200" w:before="300"/>
      </w:pPr>
      <w:r>
        <w:rPr>
          <w:rFonts w:ascii="Times New Roman" w:cs="Times New Roman" w:eastAsia="Times New Roman" w:hAnsi="Times New Roman"/>
          <w:b/>
          <w:bCs/>
          <w:sz w:val="28"/>
          <w:szCs w:val="28"/>
        </w:rPr>
        <w:t xml:space="preserve">6.3  The AA Curve</w:t>
      </w:r>
    </w:p>
    <w:p>
      <w:pPr>
        <w:spacing w:after="120" w:line="276"/>
      </w:pPr>
      <w:r>
        <w:rPr>
          <w:rFonts w:ascii="Times New Roman" w:cs="Times New Roman" w:eastAsia="Times New Roman" w:hAnsi="Times New Roman"/>
          <w:b/>
          <w:bCs/>
          <w:sz w:val="24"/>
          <w:szCs w:val="24"/>
        </w:rPr>
        <w:t xml:space="preserve">Mathematical expression:</w:t>
      </w:r>
    </w:p>
    <w:p>
      <w:pPr>
        <w:spacing w:after="120" w:line="276"/>
      </w:pPr>
      <w:r>
        <w:rPr>
          <w:rFonts w:ascii="Times New Roman" w:cs="Times New Roman" w:eastAsia="Times New Roman" w:hAnsi="Times New Roman"/>
          <w:sz w:val="24"/>
          <w:szCs w:val="24"/>
        </w:rPr>
        <w:t xml:space="preserve">The AA curve combines money market equilibrium and the UIP condition:</w:t>
      </w:r>
    </w:p>
    <w:p>
      <w:pPr>
        <w:spacing w:after="120" w:line="276"/>
        <w:jc w:val="center"/>
      </w:pPr>
      <w:r>
        <w:rPr>
          <w:rFonts w:ascii="Cambria Math" w:cs="Cambria Math" w:eastAsia="Cambria Math" w:hAnsi="Cambria Math"/>
          <w:i/>
          <w:iCs/>
          <w:sz w:val="24"/>
          <w:szCs w:val="24"/>
        </w:rPr>
        <w:t xml:space="preserve">Mˢ/P = L(R, Y)   (money market equilibrium)</w:t>
      </w:r>
    </w:p>
    <w:p>
      <w:pPr>
        <w:spacing w:after="120" w:line="276"/>
        <w:jc w:val="center"/>
      </w:pPr>
      <w:r>
        <w:rPr>
          <w:rFonts w:ascii="Cambria Math" w:cs="Cambria Math" w:eastAsia="Cambria Math" w:hAnsi="Cambria Math"/>
          <w:i/>
          <w:iCs/>
          <w:sz w:val="24"/>
          <w:szCs w:val="24"/>
        </w:rPr>
        <w:t xml:space="preserve">R = R* + (Eᵉ − E)/E   (uncovered interest parity)</w:t>
      </w:r>
    </w:p>
    <w:p>
      <w:pPr>
        <w:spacing w:after="120" w:line="276"/>
      </w:pPr>
      <w:r>
        <w:rPr>
          <w:rFonts w:ascii="Times New Roman" w:cs="Times New Roman" w:eastAsia="Times New Roman" w:hAnsi="Times New Roman"/>
          <w:sz w:val="24"/>
          <w:szCs w:val="24"/>
        </w:rPr>
        <w:t xml:space="preserve">Combining these two conditions and solving for E as a function of Y:</w:t>
      </w:r>
    </w:p>
    <w:p>
      <w:pPr>
        <w:spacing w:after="120" w:line="276"/>
        <w:jc w:val="center"/>
      </w:pPr>
      <w:r>
        <w:rPr>
          <w:rFonts w:ascii="Cambria Math" w:cs="Cambria Math" w:eastAsia="Cambria Math" w:hAnsi="Cambria Math"/>
          <w:i/>
          <w:iCs/>
          <w:sz w:val="24"/>
          <w:szCs w:val="24"/>
        </w:rPr>
        <w:t xml:space="preserve">E = Ê(Y, Eᵉ, R*, P, Mˢ)</w:t>
      </w:r>
    </w:p>
    <w:p>
      <w:pPr>
        <w:spacing w:after="120" w:line="276"/>
      </w:pPr>
      <w:r>
        <w:rPr>
          <w:rFonts w:ascii="Times New Roman" w:cs="Times New Roman" w:eastAsia="Times New Roman" w:hAnsi="Times New Roman"/>
          <w:sz w:val="24"/>
          <w:szCs w:val="24"/>
        </w:rPr>
        <w:t xml:space="preserve">This defines a downward-sloping relationship between E and Y.</w:t>
      </w:r>
    </w:p>
    <w:p>
      <w:pPr>
        <w:spacing w:after="120" w:line="276"/>
      </w:pPr>
      <w:r>
        <w:rPr>
          <w:rFonts w:ascii="Times New Roman" w:cs="Times New Roman" w:eastAsia="Times New Roman" w:hAnsi="Times New Roman"/>
          <w:b/>
          <w:bCs/>
          <w:sz w:val="24"/>
          <w:szCs w:val="24"/>
        </w:rPr>
        <w:t xml:space="preserve">Intuition: </w:t>
      </w:r>
      <w:r>
        <w:rPr>
          <w:rFonts w:ascii="Times New Roman" w:cs="Times New Roman" w:eastAsia="Times New Roman" w:hAnsi="Times New Roman"/>
          <w:sz w:val="24"/>
          <w:szCs w:val="24"/>
        </w:rPr>
        <w:t xml:space="preserve">The AA curve is the set of all (Y, E) combinations for which both the money market and the foreign exchange market are simultaneously in equilibrium. It slopes downward because an increase in output Y raises money demand, which (given fixed Mˢ/P) raises the domestic interest rate R. A higher R makes domestic assets more attractive, causing a capital inflow and an appreciation of the domestic currency (lower E via UIP).</w:t>
      </w:r>
    </w:p>
    <w:p>
      <w:pPr>
        <w:pStyle w:val="Heading2"/>
        <w:spacing w:after="200" w:before="300"/>
      </w:pPr>
      <w:r>
        <w:rPr>
          <w:rFonts w:ascii="Times New Roman" w:cs="Times New Roman" w:eastAsia="Times New Roman" w:hAnsi="Times New Roman"/>
          <w:b/>
          <w:bCs/>
          <w:sz w:val="28"/>
          <w:szCs w:val="28"/>
        </w:rPr>
        <w:t xml:space="preserve">6.4  Shifts of the AA Curve</w:t>
      </w:r>
    </w:p>
    <w:p>
      <w:pPr>
        <w:spacing w:after="120" w:before="120"/>
        <w:jc w:val="center"/>
      </w:pPr>
      <w:r>
        <w:drawing>
          <wp:inline distT="0" distB="0" distL="0" distR="0">
            <wp:extent cx="5334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448175"/>
                    </a:xfrm>
                    <a:prstGeom prst="rect">
                      <a:avLst/>
                    </a:prstGeom>
                  </pic:spPr>
                </pic:pic>
              </a:graphicData>
            </a:graphic>
          </wp:inline>
        </w:drawing>
      </w:r>
    </w:p>
    <w:p>
      <w:pPr>
        <w:spacing w:after="120" w:line="276"/>
      </w:pPr>
      <w:r>
        <w:rPr>
          <w:rFonts w:ascii="Times New Roman" w:cs="Times New Roman" w:eastAsia="Times New Roman" w:hAnsi="Times New Roman"/>
          <w:i/>
          <w:iCs/>
          <w:sz w:val="24"/>
          <w:szCs w:val="24"/>
        </w:rPr>
        <w:t xml:space="preserve">Figure 3: AA curve — shifts and movements along.</w:t>
      </w:r>
    </w:p>
    <w:p>
      <w:pPr>
        <w:spacing w:after="120" w:line="276"/>
      </w:pPr>
      <w:r>
        <w:rPr>
          <w:rFonts w:ascii="Times New Roman" w:cs="Times New Roman" w:eastAsia="Times New Roman" w:hAnsi="Times New Roman"/>
          <w:b/>
          <w:bCs/>
          <w:sz w:val="24"/>
          <w:szCs w:val="24"/>
        </w:rPr>
        <w:t xml:space="preserve">(a) P decreases: AA shifts up.</w:t>
      </w:r>
    </w:p>
    <w:p>
      <w:pPr>
        <w:spacing w:after="120" w:line="276"/>
      </w:pPr>
      <w:r>
        <w:rPr>
          <w:rFonts w:ascii="Times New Roman" w:cs="Times New Roman" w:eastAsia="Times New Roman" w:hAnsi="Times New Roman"/>
          <w:sz w:val="24"/>
          <w:szCs w:val="24"/>
        </w:rPr>
        <w:t xml:space="preserve">A decrease in the nominal price level P raises the real money supply Mˢ/P. For any given Y, there is now excess supply of real money balances, which pushes the interest rate R down. By UIP, a lower R implies that the domestic currency must depreciate (E rises). Hence, for every Y, the equilibrium E is higher: AA shifts up. The new equilibrium has higher Y and higher E.</w:t>
      </w:r>
    </w:p>
    <w:p>
      <w:pPr>
        <w:spacing w:after="120" w:line="276"/>
      </w:pPr>
      <w:r>
        <w:rPr>
          <w:rFonts w:ascii="Times New Roman" w:cs="Times New Roman" w:eastAsia="Times New Roman" w:hAnsi="Times New Roman"/>
          <w:b/>
          <w:bCs/>
          <w:sz w:val="24"/>
          <w:szCs w:val="24"/>
        </w:rPr>
        <w:t xml:space="preserve">(b) Mˢ increases: AA shifts up.</w:t>
      </w:r>
    </w:p>
    <w:p>
      <w:pPr>
        <w:spacing w:after="120" w:line="276"/>
      </w:pPr>
      <w:r>
        <w:rPr>
          <w:rFonts w:ascii="Times New Roman" w:cs="Times New Roman" w:eastAsia="Times New Roman" w:hAnsi="Times New Roman"/>
          <w:sz w:val="24"/>
          <w:szCs w:val="24"/>
        </w:rPr>
        <w:t xml:space="preserve">An increase in money supply has the same qualitative effect as a decrease in P: it raises Mˢ/P, lowers R, and causes depreciation (higher E) at every level of Y. AA shifts up. This is the standard expansionary monetary policy result: output rises and the currency depreciates.</w:t>
      </w:r>
    </w:p>
    <w:p>
      <w:pPr>
        <w:spacing w:after="120" w:line="276"/>
      </w:pPr>
      <w:r>
        <w:rPr>
          <w:rFonts w:ascii="Times New Roman" w:cs="Times New Roman" w:eastAsia="Times New Roman" w:hAnsi="Times New Roman"/>
          <w:b/>
          <w:bCs/>
          <w:sz w:val="24"/>
          <w:szCs w:val="24"/>
        </w:rPr>
        <w:t xml:space="preserve">(c) E increases: movement along the AA curve (no shift).</w:t>
      </w:r>
    </w:p>
    <w:p>
      <w:pPr>
        <w:spacing w:after="120" w:line="276"/>
      </w:pPr>
      <w:r>
        <w:rPr>
          <w:rFonts w:ascii="Times New Roman" w:cs="Times New Roman" w:eastAsia="Times New Roman" w:hAnsi="Times New Roman"/>
          <w:sz w:val="24"/>
          <w:szCs w:val="24"/>
        </w:rPr>
        <w:t xml:space="preserve">E is on the vertical axis. An increase in E is a movement along the AA curve. The asset market equilibrium conditions (money market + UIP) trace out a locus in (Y, E) space; moving to a different E simply selects a different point on this locus.</w:t>
      </w:r>
    </w:p>
    <w:p>
      <w:pPr>
        <w:spacing w:after="120" w:line="276"/>
      </w:pPr>
      <w:r>
        <w:rPr>
          <w:rFonts w:ascii="Times New Roman" w:cs="Times New Roman" w:eastAsia="Times New Roman" w:hAnsi="Times New Roman"/>
          <w:b/>
          <w:bCs/>
          <w:sz w:val="24"/>
          <w:szCs w:val="24"/>
        </w:rPr>
        <w:t xml:space="preserve">(d) Y increases: movement along the AA curve (no shift).</w:t>
      </w:r>
    </w:p>
    <w:p>
      <w:pPr>
        <w:spacing w:after="120" w:line="276"/>
      </w:pPr>
      <w:r>
        <w:rPr>
          <w:rFonts w:ascii="Times New Roman" w:cs="Times New Roman" w:eastAsia="Times New Roman" w:hAnsi="Times New Roman"/>
          <w:sz w:val="24"/>
          <w:szCs w:val="24"/>
        </w:rPr>
        <w:t xml:space="preserve">Y is on the horizontal axis. An increase in Y causes a movement along the AA curve. As Y rises, money demand increases, R rises, and the domestic currency appreciates (E falls)—this is exactly the downward slope of AA being traced out.</w:t>
      </w:r>
    </w:p>
    <w:p>
      <w:pPr>
        <w:pStyle w:val="Heading2"/>
        <w:spacing w:after="200" w:before="300"/>
      </w:pPr>
      <w:r>
        <w:rPr>
          <w:rFonts w:ascii="Times New Roman" w:cs="Times New Roman" w:eastAsia="Times New Roman" w:hAnsi="Times New Roman"/>
          <w:b/>
          <w:bCs/>
          <w:sz w:val="28"/>
          <w:szCs w:val="28"/>
        </w:rPr>
        <w:t xml:space="preserve">6.5  Shift vs. Movement Along: General Principle</w:t>
      </w:r>
    </w:p>
    <w:p>
      <w:pPr>
        <w:spacing w:after="120" w:line="276"/>
      </w:pPr>
      <w:r>
        <w:rPr>
          <w:rFonts w:ascii="Times New Roman" w:cs="Times New Roman" w:eastAsia="Times New Roman" w:hAnsi="Times New Roman"/>
          <w:sz w:val="24"/>
          <w:szCs w:val="24"/>
        </w:rPr>
        <w:t xml:space="preserve">A variable causes a shift of a curve if it is an exogenous parameter of that curve’s equilibrium condition but does not appear on either axis. A variable causes a movement along the curve if it is one of the two variables plotted on the axes (E or Y in the DD-AA framework).</w:t>
      </w:r>
    </w:p>
    <w:p>
      <w:pPr>
        <w:spacing w:after="120" w:line="276"/>
      </w:pPr>
      <w:r>
        <w:rPr>
          <w:rFonts w:ascii="Times New Roman" w:cs="Times New Roman" w:eastAsia="Times New Roman" w:hAnsi="Times New Roman"/>
          <w:sz w:val="24"/>
          <w:szCs w:val="24"/>
        </w:rPr>
        <w:t xml:space="preserve">In the DD-AA model, the axes are Y (horizontal) and E (vertical). Therefore:</w:t>
      </w:r>
    </w:p>
    <w:p>
      <w:pPr>
        <w:spacing w:after="120" w:line="276"/>
      </w:pPr>
      <w:r>
        <w:rPr>
          <w:rFonts w:ascii="Times New Roman" w:cs="Times New Roman" w:eastAsia="Times New Roman" w:hAnsi="Times New Roman"/>
          <w:sz w:val="24"/>
          <w:szCs w:val="24"/>
        </w:rPr>
        <w:t xml:space="preserve">• Changes in E or Y: always cause movements along both DD and AA (no shift).</w:t>
      </w:r>
    </w:p>
    <w:p>
      <w:pPr>
        <w:spacing w:after="120" w:line="276"/>
      </w:pPr>
      <w:r>
        <w:rPr>
          <w:rFonts w:ascii="Times New Roman" w:cs="Times New Roman" w:eastAsia="Times New Roman" w:hAnsi="Times New Roman"/>
          <w:sz w:val="24"/>
          <w:szCs w:val="24"/>
        </w:rPr>
        <w:t xml:space="preserve">• Changes in G, I, T, P*: shift the DD curve (they affect goods market equilibrium but are not on the axes).</w:t>
      </w:r>
    </w:p>
    <w:p>
      <w:pPr>
        <w:spacing w:after="120" w:line="276"/>
      </w:pPr>
      <w:r>
        <w:rPr>
          <w:rFonts w:ascii="Times New Roman" w:cs="Times New Roman" w:eastAsia="Times New Roman" w:hAnsi="Times New Roman"/>
          <w:sz w:val="24"/>
          <w:szCs w:val="24"/>
        </w:rPr>
        <w:t xml:space="preserve">• Changes in Mˢ, P, Eᵉ, R*: shift the AA curve (they affect asset market equilibrium but are not on the axes).</w:t>
      </w:r>
    </w:p>
    <w:p>
      <w:pPr>
        <w:spacing w:after="120" w:line="276"/>
      </w:pPr>
      <w:r>
        <w:rPr>
          <w:rFonts w:ascii="Times New Roman" w:cs="Times New Roman" w:eastAsia="Times New Roman" w:hAnsi="Times New Roman"/>
          <w:sz w:val="24"/>
          <w:szCs w:val="24"/>
        </w:rPr>
        <w:t xml:space="preserve">This parallels the standard microeconomic distinction between shifts of a supply/demand curve (caused by exogenous variables) and movements along a curve (caused by changes in price or quantity).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69e417c800462fbe78b23d7ca83409a227c3d3.png"/><Relationship Id="rId8" Type="http://schemas.openxmlformats.org/officeDocument/2006/relationships/image" Target="media/c22e790178f8e5a7cc96c82584b948f77b8a5c2a.png"/><Relationship Id="rId9" Type="http://schemas.openxmlformats.org/officeDocument/2006/relationships/image" Target="media/d3c246a7d10dd9dcda475e0512ab36d17fd2642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2026-03-15T15:45:01.002Z</dcterms:created>
  <dcterms:modified xsi:type="dcterms:W3CDTF">2026-03-15T15:45:01.004Z</dcterms:modified>
</cp:coreProperties>
</file>

<file path=docProps/custom.xml><?xml version="1.0" encoding="utf-8"?>
<Properties xmlns="http://schemas.openxmlformats.org/officeDocument/2006/custom-properties" xmlns:vt="http://schemas.openxmlformats.org/officeDocument/2006/docPropsVTypes"/>
</file>