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D1B" w:rsidRDefault="00C817DA">
      <w:r>
        <w:t>Chapter 13 National Income Accountin</w:t>
      </w:r>
      <w:r w:rsidR="00D34210">
        <w:t>g and the Balance of Payments</w:t>
      </w:r>
    </w:p>
    <w:p w:rsidR="00D34210" w:rsidRDefault="00D34210">
      <w:pPr>
        <w:outlineLvl w:val="0"/>
      </w:pPr>
      <w:bookmarkStart w:id="0" w:name="bookmark0"/>
    </w:p>
    <w:p w:rsidR="000E6D1B" w:rsidRDefault="00C817DA">
      <w:pPr>
        <w:outlineLvl w:val="0"/>
      </w:pPr>
      <w:r>
        <w:t>■ Answers to Textbook Problems</w:t>
      </w:r>
      <w:bookmarkEnd w:id="0"/>
    </w:p>
    <w:p w:rsidR="000E6D1B" w:rsidRDefault="00C817DA">
      <w:pPr>
        <w:tabs>
          <w:tab w:val="left" w:pos="346"/>
        </w:tabs>
        <w:ind w:left="360" w:hanging="360"/>
      </w:pPr>
      <w:r>
        <w:t>1.</w:t>
      </w:r>
      <w:r>
        <w:tab/>
        <w:t>The reason for including only the value of final goods and services in GNP, as stated in the question, is to avoid the problem of double counting. Double counting will not occur if intermediate imports are subtracted and intermediate exported goods are added to GNP accounts. Consider the sale of U.S. steel to Toyota and to General Motors. The steel sold to General Motors should not be included in GNP because the value of that steel is subsumed in the cars produced in the United States. The value of the steel sold to Toyota will not enter the national income accounts in a more finished state because the value of the Toyota goes toward Japanese GNP. The value of the steel should be subtracted from GNP in Japan because U.S. factors of production receive payment for it. Thus, we do want to count imports of intermediate goods (as a negative), to avoid double counting both domestic and foreign production.</w:t>
      </w:r>
    </w:p>
    <w:p w:rsidR="000E6D1B" w:rsidRDefault="00C817DA" w:rsidP="00D34210">
      <w:pPr>
        <w:tabs>
          <w:tab w:val="left" w:pos="504"/>
        </w:tabs>
        <w:ind w:left="360" w:hanging="360"/>
      </w:pPr>
      <w:r>
        <w:t>2.</w:t>
      </w:r>
      <w:r>
        <w:tab/>
        <w:t>Equation 13-</w:t>
      </w:r>
      <w:r w:rsidR="009C25AF">
        <w:t>2 can be written as CA = (Sp - I</w:t>
      </w:r>
      <w:bookmarkStart w:id="1" w:name="_GoBack"/>
      <w:bookmarkEnd w:id="1"/>
      <w:r>
        <w:t>) + (T - G). Higher U.S. barriers to imports may have little or no impact upon private savings, investment, and the budget deficit. If there were no effect onthese variables, then the current account would not improve with the imposition of tariffs or quotas. It is possible to tell stories in which the effect on the current account goes either way. For example, investment could rise in industries protected by the tariff, worsening the current account. (Indeed, tariffs are sometimes justified by the alleged need to give ailing industries a chance to modernize their plant and equipment.) On the other hand, investment might fall in industries that face a higher cost of imported intermediate goods as a result of the tariff. In general, permanent and temporary tariffs have different effects. The point of the question is that a prediction of the manner in which policies affect the current account requires a general-equilibrium, macroeconomic analysis.</w:t>
      </w:r>
    </w:p>
    <w:p w:rsidR="000E6D1B" w:rsidRDefault="00C817DA">
      <w:pPr>
        <w:tabs>
          <w:tab w:val="left" w:pos="374"/>
        </w:tabs>
        <w:ind w:left="360" w:hanging="360"/>
      </w:pPr>
      <w:r>
        <w:t>3.</w:t>
      </w:r>
      <w:r>
        <w:tab/>
        <w:t>a. The purchase of the Thailand stock is a debit in the Japan financial account. There is a corresponding credit in the Japan financial account when the Japanese pays with a check on his Singapore bank account because his claims on Singapore fall by the amount of the check. This is a case in which a Japanese trades one foreign asset for another.</w:t>
      </w:r>
    </w:p>
    <w:p w:rsidR="000E6D1B" w:rsidRDefault="00D34210">
      <w:pPr>
        <w:tabs>
          <w:tab w:val="left" w:pos="776"/>
        </w:tabs>
        <w:ind w:left="360" w:hanging="360"/>
      </w:pPr>
      <w:r>
        <w:t xml:space="preserve">     </w:t>
      </w:r>
      <w:r w:rsidR="00C817DA">
        <w:t>b.</w:t>
      </w:r>
      <w:r w:rsidR="00C817DA">
        <w:tab/>
        <w:t xml:space="preserve">Again, there is a Japan financial account debit as a result of the purchase of a </w:t>
      </w:r>
      <w:r w:rsidR="00C817DA">
        <w:lastRenderedPageBreak/>
        <w:t>Thailand stock by a Japanese. The corresponding credit in this case occurs when the Thailand seller deposits the Japanese check in his Thailand bank and that bank lends the money to a Thailand importer (in which case the credit will be in the Japan current account) or to an individual or corporation that purchases a Japanese asset (in which case the credit will be in the Japanese financial account). Ultimately, there will be some action taken by the bank, which results in a credit in the Japan balance of payments.</w:t>
      </w:r>
    </w:p>
    <w:p w:rsidR="000E6D1B" w:rsidRDefault="00D34210">
      <w:pPr>
        <w:tabs>
          <w:tab w:val="left" w:pos="776"/>
        </w:tabs>
        <w:ind w:left="360" w:hanging="360"/>
      </w:pPr>
      <w:r>
        <w:t xml:space="preserve">     </w:t>
      </w:r>
      <w:r w:rsidR="00C817DA">
        <w:t>c.</w:t>
      </w:r>
      <w:r w:rsidR="00C817DA">
        <w:tab/>
        <w:t>The foreign exchange intervention by the Malaysian government involves the sale of a Japanese asset, the Yen it holds in Japan, and thus represents a debit item in the Japan financial account. The Malaysian citizens who buy the Yen may use them to buy Japanese goods, which would be a Japanese current account credit, or a Japanese asset, which would be a Japanese financial account credit.</w:t>
      </w:r>
    </w:p>
    <w:p w:rsidR="000E6D1B" w:rsidRDefault="00D34210">
      <w:pPr>
        <w:tabs>
          <w:tab w:val="left" w:pos="776"/>
        </w:tabs>
        <w:ind w:left="360" w:hanging="360"/>
      </w:pPr>
      <w:r>
        <w:t xml:space="preserve">    </w:t>
      </w:r>
      <w:r w:rsidR="00C817DA">
        <w:t>d.</w:t>
      </w:r>
      <w:r w:rsidR="00C817DA">
        <w:tab/>
        <w:t>Suppose the company issuing the traveler’s check uses a checking account in Thailand to make payments. When this company pays the Thailand’s restaurateur for the meal, its payment represents a debit in the current account for Japan. The company issuing the traveler’s check must sell assets (depleting its checking account in Thailand) to make this payment. This reduction in the Thailand’s assets owned by that company represents a credit in the Japanese financial account.</w:t>
      </w:r>
    </w:p>
    <w:p w:rsidR="000E6D1B" w:rsidRDefault="00D34210">
      <w:pPr>
        <w:tabs>
          <w:tab w:val="left" w:pos="776"/>
        </w:tabs>
        <w:ind w:left="360" w:hanging="360"/>
      </w:pPr>
      <w:r>
        <w:t xml:space="preserve">    </w:t>
      </w:r>
      <w:r w:rsidR="00C817DA">
        <w:t>e.</w:t>
      </w:r>
      <w:r w:rsidR="00C817DA">
        <w:tab/>
        <w:t>There is no credit or debit in either the financial or the current account because there has been no market transaction.</w:t>
      </w:r>
    </w:p>
    <w:p w:rsidR="000E6D1B" w:rsidRDefault="00D34210" w:rsidP="00D34210">
      <w:pPr>
        <w:tabs>
          <w:tab w:val="left" w:pos="776"/>
        </w:tabs>
        <w:ind w:left="360" w:hanging="360"/>
      </w:pPr>
      <w:r>
        <w:t xml:space="preserve">    </w:t>
      </w:r>
      <w:r w:rsidR="00C817DA">
        <w:t>f.</w:t>
      </w:r>
      <w:r w:rsidR="00C817DA">
        <w:tab/>
        <w:t>There is no recording in the Japan Balance of Payments of this offshore transaction.</w:t>
      </w:r>
    </w:p>
    <w:p w:rsidR="000E6D1B" w:rsidRDefault="00C817DA" w:rsidP="00D34210">
      <w:pPr>
        <w:tabs>
          <w:tab w:val="left" w:pos="362"/>
        </w:tabs>
        <w:ind w:left="360" w:hanging="360"/>
      </w:pPr>
      <w:r>
        <w:t>4.</w:t>
      </w:r>
      <w:r>
        <w:tab/>
        <w:t>The purchase of the gemstone is a current account debit for Mexico and a current account credit for Brazil. When the Brazilian Company deposits the money in its Panama bank, there is a financial account credit for Mexico and a corresponding debit for Brazil.</w:t>
      </w:r>
      <w:r w:rsidR="00D34210">
        <w:t xml:space="preserve"> </w:t>
      </w:r>
      <w:r>
        <w:t>If the transaction is in cash, then the corresponding debit for Brazil and credit for Mexico also show up in their financial accounts. Brazil acquires Mexican Pesos bills (an import of assets from Mexico and, therefore, a debit item in its financial account); Mexico loses the Pesos (an export of Pesos bills and, thus, a financial account credit). Notice that this last adjustment is analogous to what would occur under a gold standard (see Chapter 18[7]).</w:t>
      </w:r>
    </w:p>
    <w:p w:rsidR="00D34210" w:rsidRDefault="00D34210" w:rsidP="00D34210">
      <w:pPr>
        <w:tabs>
          <w:tab w:val="left" w:pos="362"/>
        </w:tabs>
      </w:pPr>
    </w:p>
    <w:p w:rsidR="00D34210" w:rsidRDefault="00D34210" w:rsidP="00D34210">
      <w:pPr>
        <w:tabs>
          <w:tab w:val="left" w:pos="362"/>
        </w:tabs>
      </w:pPr>
    </w:p>
    <w:p w:rsidR="000E6D1B" w:rsidRDefault="00C817DA" w:rsidP="00D34210">
      <w:pPr>
        <w:tabs>
          <w:tab w:val="left" w:pos="362"/>
        </w:tabs>
      </w:pPr>
      <w:r>
        <w:lastRenderedPageBreak/>
        <w:t>5.</w:t>
      </w:r>
      <w:r>
        <w:tab/>
        <w:t>a.</w:t>
      </w:r>
      <w:r w:rsidR="00D34210">
        <w:t xml:space="preserve"> Because non-central bank financial inflows fell short of the current account deficit  by $500 million, the balance of payments of Pecunia (official settlements balance) was $500 million. The country as a whole somehow had to finance its $1 billion current account deficit, so Pecunia’s net foreign assets fell by $1 billion.        </w:t>
      </w:r>
    </w:p>
    <w:p w:rsidR="000E6D1B" w:rsidRDefault="00D34210">
      <w:pPr>
        <w:tabs>
          <w:tab w:val="left" w:pos="774"/>
        </w:tabs>
        <w:ind w:left="360" w:hanging="360"/>
      </w:pPr>
      <w:r>
        <w:t xml:space="preserve">     </w:t>
      </w:r>
      <w:r w:rsidR="00C817DA">
        <w:t>b.</w:t>
      </w:r>
      <w:r w:rsidR="00C817DA">
        <w:tab/>
        <w:t>By dipping into its foreign reserves, the central bank of Pecunia financed the portion of the country’s current account deficit not covered by private financial inflows. Only if foreign central banks had acquired Pecunian assets could the Pecunian central bank have avoided using $500 million in reserves to complete the financing of the current account. Thus, Pecunia’s central bank lost $500 million in reserves, which would appear as an official financial inflow (of the same magnitude) in the country’s balance of payments accounts.</w:t>
      </w:r>
    </w:p>
    <w:p w:rsidR="000E6D1B" w:rsidRDefault="00D34210">
      <w:pPr>
        <w:tabs>
          <w:tab w:val="left" w:pos="774"/>
        </w:tabs>
        <w:ind w:left="360" w:hanging="360"/>
      </w:pPr>
      <w:r>
        <w:t xml:space="preserve">     </w:t>
      </w:r>
      <w:r w:rsidR="00C817DA">
        <w:t>c.</w:t>
      </w:r>
      <w:r w:rsidR="00C817DA">
        <w:tab/>
        <w:t>If foreign official capital inflows to Pecunia were $600 million, the central bank now increased its foreign assets by $100 million. Put another way, the country needed only $1 billion to cover its current account deficit, but $1.1 billion flowed into the country (500 million private and 600 million from foreign central banks). The Pecunian central bank must, therefore, have used the extra $100 million in foreign borrowing to increase its reserves. The balance of payments is still -$500 million, but this now comprises $600 million in foreign central banks purchasing Pecunia assets and $100 million of Pecunia’s central bank purchasing foreign assets, as opposed to Pecunia selling $500 million in assets. Purchases of Pecunian assets by foreign central banks enter their countries’ balance of payments accounts as outflows, which are debit items. The rationale is that the transactions result in foreign payments to the Pecunians who sell the assets.</w:t>
      </w:r>
    </w:p>
    <w:p w:rsidR="000E6D1B" w:rsidRDefault="00D34210">
      <w:pPr>
        <w:tabs>
          <w:tab w:val="left" w:pos="774"/>
        </w:tabs>
        <w:ind w:left="360" w:hanging="360"/>
      </w:pPr>
      <w:r>
        <w:t xml:space="preserve">     </w:t>
      </w:r>
      <w:r w:rsidR="00C817DA">
        <w:t>d.</w:t>
      </w:r>
      <w:r w:rsidR="00C817DA">
        <w:tab/>
        <w:t>Along with noncentral bank transactions, the accounts would show an increase in foreign official reserve assets held in Pecunia of $600 million (a financial account credit, or inflow) and an increase Pecunian official reserve assets held abroad of $100 million (a financial account debit, or outflow).</w:t>
      </w:r>
    </w:p>
    <w:p w:rsidR="000E6D1B" w:rsidRDefault="00C817DA" w:rsidP="00D34210">
      <w:pPr>
        <w:tabs>
          <w:tab w:val="left" w:pos="370"/>
        </w:tabs>
        <w:ind w:left="360" w:hanging="360"/>
      </w:pPr>
      <w:r>
        <w:t>6.</w:t>
      </w:r>
      <w:r>
        <w:tab/>
        <w:t xml:space="preserve">A current account deficit or surplus is a situation that may be unsustainable in the long run. There are instances in which a deficit may be warranted, for example to borrow today to improve productive capacity in order to have a higher national income tomorrow. But for any period of current account deficit, there must be a corresponding period in which spending falls short of income (i.e., a current account surplus) in order to pay the debts incurred to foreigners. In the absence of unusual </w:t>
      </w:r>
      <w:r>
        <w:lastRenderedPageBreak/>
        <w:t>investment opportunities, the best path for an economy may be one in which consumption, relative to income, is smoothed out over time.</w:t>
      </w:r>
      <w:r w:rsidR="00D34210">
        <w:t xml:space="preserve"> </w:t>
      </w:r>
      <w:r>
        <w:t>The reserves of foreign currency held by a country’s central bank change with nonzero values of its official settlements balance. Central banks use their foreign currency reserves to influence exchange rates. A depletion of foreign reserves may limit the central bank’s ability to influence or peg the exchange rate. For some countries (particularly developing countries), central-bank reserves may be important as a way of allowing the economy to maintain consumption or investment when foreign borrowing is difficult. A high level of reserves may also perform a signaling role by convincing potential foreign lenders that the country is creditworthy. The balance of payments of a reserve- currency center (such as the United States under the Bretton Woods system) raises special issues that are best postponed until Chapter 19.</w:t>
      </w:r>
    </w:p>
    <w:p w:rsidR="000E6D1B" w:rsidRDefault="00C817DA">
      <w:pPr>
        <w:tabs>
          <w:tab w:val="left" w:pos="370"/>
        </w:tabs>
        <w:ind w:left="360" w:hanging="360"/>
      </w:pPr>
      <w:r>
        <w:t>7.</w:t>
      </w:r>
      <w:r>
        <w:tab/>
        <w:t>The official settlements balance, also called the balance of payments, shows the net change in international reserves held by European Central Bank (ECB) relative to the change in euro reserves held by foreign Central Banks. This account provides a partial picture of the extent of intervention in the foreign exchange market. For example, suppose the Bank of Japan purchases euros and deposits them in its Singapore Dollar account in a Singapore bank. Although this transaction is a form of intervention, it would not appear in the official settlements balance of the ECB. Instead, when the Singapore bank credits this deposit in its account in a European bank, this transaction will appear as a private financial flow.</w:t>
      </w:r>
    </w:p>
    <w:p w:rsidR="000E6D1B" w:rsidRDefault="00C817DA" w:rsidP="00D34210">
      <w:pPr>
        <w:tabs>
          <w:tab w:val="left" w:pos="533"/>
        </w:tabs>
        <w:ind w:left="360" w:hanging="360"/>
      </w:pPr>
      <w:r>
        <w:t>8.</w:t>
      </w:r>
      <w:r>
        <w:tab/>
        <w:t>A country could have a current account deficit and a balance of payments surplus at the same time if the financial and capital account surpluses exceeded the current account deficit. Recall that the balance of payments surplus equals the current account surplus plus the financial account surplus plus the capital account surplus. If, for example, there is a current account deficit of $100 million, but there are large capital inflows and the financial account surplus is $102 million, then there will be a $2 million balance of payments surplus.</w:t>
      </w:r>
      <w:r w:rsidR="00D34210">
        <w:t xml:space="preserve"> </w:t>
      </w:r>
      <w:r>
        <w:t>This problem can be used as an introduction to intervention (or lack thereof) in the foreign exchange market, a topic taken up in more detail in Chapter 18. The government of the United States did not intervene in any appreciable manner in the foreign exchange markets in the first half of the 1980s.</w:t>
      </w:r>
      <w:r w:rsidR="00D34210">
        <w:t xml:space="preserve"> </w:t>
      </w:r>
      <w:r>
        <w:t xml:space="preserve">The “textbook” consequence of this is a balance of payments of zero, while the actual figures showed a slight balance of payments surplus between 1982 and </w:t>
      </w:r>
      <w:r>
        <w:lastRenderedPageBreak/>
        <w:t>1985. These years were also marked by large current account deficits. Thus, the financial inflows into the United States between 1982 and 1985 exceeded the current account deficits in those years.</w:t>
      </w:r>
    </w:p>
    <w:p w:rsidR="000E6D1B" w:rsidRDefault="00C817DA">
      <w:pPr>
        <w:tabs>
          <w:tab w:val="left" w:pos="410"/>
        </w:tabs>
        <w:ind w:left="360" w:hanging="360"/>
      </w:pPr>
      <w:r>
        <w:t>9.</w:t>
      </w:r>
      <w:r>
        <w:tab/>
        <w:t>The weight of external debt is considered sustainable if the growth rate of the economy is at least equal to the rate of interest payment. In the case of South Africa, under the assumption that both - the assets and the liabilities, pay 6%, the net payments on the net foreign debt would be 3% which is barely unsustainable considering that the country had a very low GDP growth (between 0.5 and 1% for 2015-2016) (see Article IV IMF Report (</w:t>
      </w:r>
      <w:hyperlink r:id="rId6" w:history="1">
        <w:r>
          <w:rPr>
            <w:rStyle w:val="Collegamentoipertestuale"/>
          </w:rPr>
          <w:t>https://www.imf.org/extemal/pubs/ft/scr/2016</w:t>
        </w:r>
      </w:hyperlink>
      <w:r>
        <w:t xml:space="preserve"> /cr 16217.pdf). Under the existing circumstances, this situation already requires strong economic reforms as recommended by the IMF report. At 100% net foreign debt-to-GDP ratio, the net payments are at 6%. At this point, the country could face a financial crisis.</w:t>
      </w:r>
    </w:p>
    <w:p w:rsidR="000E6D1B" w:rsidRDefault="00C817DA">
      <w:pPr>
        <w:tabs>
          <w:tab w:val="left" w:pos="410"/>
        </w:tabs>
        <w:ind w:left="360" w:hanging="360"/>
      </w:pPr>
      <w:r>
        <w:t>10.</w:t>
      </w:r>
      <w:r>
        <w:tab/>
        <w:t>Switzerland is an attractive economy for the people close to its border and a lot of foreign cross- border commuters come to work in Switzerland, but reside in neighboring countries. Hence, the remuneration of these salaries are accounted for as expenses for the primary balance.</w:t>
      </w:r>
    </w:p>
    <w:p w:rsidR="000E6D1B" w:rsidRDefault="00C817DA">
      <w:pPr>
        <w:tabs>
          <w:tab w:val="left" w:pos="410"/>
        </w:tabs>
        <w:ind w:left="360" w:hanging="360"/>
      </w:pPr>
      <w:r>
        <w:t>11.</w:t>
      </w:r>
      <w:r>
        <w:tab/>
        <w:t>The case study states that U.S. foreign assets are equal to 129% of GDP and foreign liabilities are equal to 148% of GDP. Furthermore, 70% of U.S. foreign assets are in foreign currencies, and 100% of U.S. foreign liabilities are in dollars. From the foreign perspective, foreigners hold U.S. assets equal to 148% of U.S. GDP, and these are all in dollars. A 10% depreciation of the dollar would reduce the value of these foreign assets by 0.1 * 1 * 1.48 = 14.8%. Foreign liabilities are equal to 129% of GDP, but only 30% of these liabilities are in dollars. Thus, a 10% depreciation of the dollar would reduce foreign liabilities by 0.1 x 0.3 * 1.29 = 3.9%. Thus, the net effect of a 10% dollar depreciation is a 10.9% reduction in the net foreign wealth of foreign countries.</w:t>
      </w:r>
    </w:p>
    <w:p w:rsidR="000E6D1B" w:rsidRDefault="00C817DA">
      <w:pPr>
        <w:tabs>
          <w:tab w:val="left" w:pos="410"/>
        </w:tabs>
        <w:ind w:left="360" w:hanging="360"/>
      </w:pPr>
      <w:r>
        <w:t>12.</w:t>
      </w:r>
      <w:r>
        <w:tab/>
        <w:t>To incorporate capital gains or losses, one would have to consider these valuation changes as part of national income. We would thus change Equation 13-1 to read:</w:t>
      </w:r>
    </w:p>
    <w:p w:rsidR="000E6D1B" w:rsidRDefault="00D34210" w:rsidP="00D34210">
      <w:r>
        <w:t xml:space="preserve">      </w:t>
      </w:r>
      <w:r w:rsidR="00C817DA">
        <w:t>Y= C + I+ G+X-M+ “GAIN”</w:t>
      </w:r>
      <w:r>
        <w:t xml:space="preserve"> </w:t>
      </w:r>
      <w:r w:rsidR="00C817DA">
        <w:t>where “GAIN” is defined</w:t>
      </w:r>
      <w:r>
        <w:t xml:space="preserve"> as the net capital gain on net                        </w:t>
      </w:r>
      <w:r w:rsidR="00C817DA">
        <w:t>foreign assets. Although such an adjustment would more directly measure the change in net foreign assets, it would not be as useful a measure of the</w:t>
      </w:r>
      <w:r>
        <w:t xml:space="preserve"> income of a country. </w:t>
      </w:r>
      <w:r w:rsidR="00C817DA">
        <w:t xml:space="preserve">Nonrealized gains do not show up as income, nor do they provide the means to finance </w:t>
      </w:r>
      <w:r w:rsidR="00C817DA">
        <w:lastRenderedPageBreak/>
        <w:t>consumption or investment. So, it would be misleading to count this in the current account. In addition, it is most likely not done because of the difficulty of making these measurements. Many of the investments do not have clear market prices, making them difficult to value.</w:t>
      </w:r>
    </w:p>
    <w:p w:rsidR="000E6D1B" w:rsidRDefault="00D34210" w:rsidP="00D34210">
      <w:pPr>
        <w:tabs>
          <w:tab w:val="left" w:pos="523"/>
        </w:tabs>
      </w:pPr>
      <w:r>
        <w:t xml:space="preserve">  </w:t>
      </w:r>
      <w:r w:rsidR="00C817DA">
        <w:t>13.</w:t>
      </w:r>
      <w:r w:rsidR="00C817DA">
        <w:tab/>
        <w:t>The international investment position is mostly composed of direct investment and portfolio</w:t>
      </w:r>
      <w:r>
        <w:t xml:space="preserve"> </w:t>
      </w:r>
      <w:r w:rsidR="00C817DA">
        <w:t>investment, both of which correspond to debt instruments. There are two categories that countries fall into if you consider the relative figures or the gross figures. In relative terms (% of GDP), the main debtor countries are the countries that amass high external debts (Ireland, Greece, Cyprus, Portugal) as a result of the financial crisis. In gross terms, the main debtor countries are Spain, France, Italy, and the UK—but for different reasons: Spain and Italy have high external debts, whereas France and UK invest abroad. On the surplus side, the main creditors countries are (in relative terms) the Netherlands, Belgium, Germany, Malta, and Denmark; in gross terms Germany, and to a lesser extent, the Netherlands. These creditor countries invest and lend abroad.</w:t>
      </w:r>
    </w:p>
    <w:p w:rsidR="000E6D1B" w:rsidRDefault="00C817DA">
      <w:pPr>
        <w:outlineLvl w:val="0"/>
      </w:pPr>
      <w:bookmarkStart w:id="2" w:name="bookmark1"/>
      <w:r>
        <w:t>■ References</w:t>
      </w:r>
      <w:bookmarkEnd w:id="2"/>
    </w:p>
    <w:p w:rsidR="000E6D1B" w:rsidRDefault="00C817DA">
      <w:r>
        <w:t>Christopher Bach. “U.S. International Transactions, Revised Estimates for 1982-1998.” Survey of Current Business 79 (July 1999), pp. 60-74.</w:t>
      </w:r>
    </w:p>
    <w:p w:rsidR="000E6D1B" w:rsidRDefault="00C817DA">
      <w:r>
        <w:t>“The International Monetary Fund’s New Standards for Economic Statistics.” Survey of Current Business 76 (October 1996), pp. 37-47.</w:t>
      </w:r>
    </w:p>
    <w:p w:rsidR="000E6D1B" w:rsidRDefault="00C817DA">
      <w:r>
        <w:t>©2018 Pearson Education Ltd.</w:t>
      </w:r>
    </w:p>
    <w:sectPr w:rsidR="000E6D1B">
      <w:type w:val="continuous"/>
      <w:pgSz w:w="12240" w:h="16834"/>
      <w:pgMar w:top="1430" w:right="1440" w:bottom="143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18F" w:rsidRDefault="00FF318F">
      <w:r>
        <w:separator/>
      </w:r>
    </w:p>
  </w:endnote>
  <w:endnote w:type="continuationSeparator" w:id="0">
    <w:p w:rsidR="00FF318F" w:rsidRDefault="00FF3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18F" w:rsidRDefault="00FF318F"/>
  </w:footnote>
  <w:footnote w:type="continuationSeparator" w:id="0">
    <w:p w:rsidR="00FF318F" w:rsidRDefault="00FF318F"/>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D1B"/>
    <w:rsid w:val="000E6D1B"/>
    <w:rsid w:val="009C25AF"/>
    <w:rsid w:val="00C817DA"/>
    <w:rsid w:val="00D34210"/>
    <w:rsid w:val="00FF318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2B0D"/>
  <w15:docId w15:val="{2C03E2C2-583E-4223-A0FB-FBA82F49F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rPr>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rPr>
      <w:color w:val="0066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mf.org/extemal/pubs/ft/scr/2016"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M12_KRUG8283_08_IM_C12</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M12_KRUG8283_08_IM_C12</dc:title>
  <dc:subject/>
  <dc:creator>Marco Lavoratornovo</dc:creator>
  <cp:keywords/>
  <cp:lastModifiedBy>Windows User</cp:lastModifiedBy>
  <cp:revision>2</cp:revision>
  <dcterms:created xsi:type="dcterms:W3CDTF">2019-02-27T18:08:00Z</dcterms:created>
  <dcterms:modified xsi:type="dcterms:W3CDTF">2019-02-28T12:15:00Z</dcterms:modified>
</cp:coreProperties>
</file>