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8D4" w:rsidRDefault="00AE68D4">
      <w:pPr>
        <w:outlineLvl w:val="2"/>
      </w:pPr>
      <w:bookmarkStart w:id="0" w:name="bookmark0"/>
      <w:r>
        <w:t xml:space="preserve">Chapter 14 Exchange Rates and the Foreign Exchange Market: An Asset Approach </w:t>
      </w:r>
      <w:r w:rsidR="005C28EF">
        <w:t xml:space="preserve"> </w:t>
      </w:r>
    </w:p>
    <w:p w:rsidR="00AE68D4" w:rsidRDefault="00AE68D4">
      <w:pPr>
        <w:outlineLvl w:val="2"/>
      </w:pPr>
    </w:p>
    <w:p w:rsidR="00BF2875" w:rsidRDefault="005C28EF">
      <w:pPr>
        <w:outlineLvl w:val="2"/>
      </w:pPr>
      <w:r>
        <w:t>Answers to Textbook Problems</w:t>
      </w:r>
      <w:bookmarkEnd w:id="0"/>
    </w:p>
    <w:p w:rsidR="00BF2875" w:rsidRDefault="005C28EF">
      <w:pPr>
        <w:tabs>
          <w:tab w:val="left" w:pos="331"/>
        </w:tabs>
        <w:ind w:left="360" w:hanging="360"/>
      </w:pPr>
      <w:r>
        <w:t>1.</w:t>
      </w:r>
      <w:r>
        <w:tab/>
        <w:t>At an exchange rate of 50 INR per SGD, a 135 INR haircut costs = 2.7 SGD. Thus, the haircut in Delhi is 5.5 times less expensive than a haircut in Singapore. The relative price is 2.7 SGD /15 SGD = 0.18. A haircut in Delhi costs 0.18 haircuts in Singapore. If the Rupee depreciates to 55 ING per SGD, the Delhi haircut will cost 2.45 SGD (5INR/SGD x 135), for a relative price of 2.45 /15 = 0.16. You have to give up 0.16 Singapore haircuts to get a Delhi haircut. The Delhi haircuts are even cheaper after the depreciation of the Rupee.</w:t>
      </w:r>
    </w:p>
    <w:p w:rsidR="00BF2875" w:rsidRDefault="005C28EF" w:rsidP="00AE68D4">
      <w:pPr>
        <w:tabs>
          <w:tab w:val="left" w:pos="331"/>
        </w:tabs>
        <w:ind w:left="360" w:hanging="360"/>
      </w:pPr>
      <w:r>
        <w:t>2.</w:t>
      </w:r>
      <w:r>
        <w:tab/>
        <w:t>If it were cheaper to buy Israeli shekels with Swiss francs that were purchased with dollars than to directly buy shekels with dollars, then people would act upon this arbitrage opportunity. The demand for Swiss francs from people who hold dollars would rise, causing the Swiss franc to rise in value against the dollar. The Swiss franc would appreciate against the dollar until the price of a shekel would be exactly the same whether it was purchased directly with dollars or indirectly through Swiss francs.</w:t>
      </w:r>
      <w:r w:rsidR="00AE68D4">
        <w:t xml:space="preserve"> </w:t>
      </w:r>
      <w:r>
        <w:t>Take for example the exchange rate between the Argentine peso, the US dollar, the euro, and the British pound. One dollar is worth 13.895 pesos, while a euro is worth 15.7465 pesos. To rule out triangular arbitrage, we need to see how many pesos you would get if you first bought euros with your dollars (at an exchange rate of 0.8824 euros per dollar), then used these euros to buy pesos. In other words, we need to compute EARG/USD = EEUR/USD x EARG/EUR = 0.8824 x 15.7465 = 13.8947. This is almost exactly (with rounding) equal to the direct rate of pesos per dollar. A similar procedure for the British pound shows that EARG/USD = EGBP/USD x EARG/GBP = 0.6888 x 20.1722 = 13.8946. Again, this is almost exactly equal to the direct rate of pesos per dollar.</w:t>
      </w:r>
      <w:r w:rsidR="00AE68D4">
        <w:t xml:space="preserve"> </w:t>
      </w:r>
      <w:r>
        <w:t>We need to say that triangular arbitrage is “approximately” ruled out for several reasons. First, rounding error means that there may be some small discrepancies between the direct and indirect exchange rates we calculate. Second, transactions costs on trading currencies will prevent complete arbitrage from occurring. That said, the massive volume of currencies traded make these transactions costs relatively small, leading to “near” perfect arbitrage.</w:t>
      </w:r>
    </w:p>
    <w:p w:rsidR="00BF2875" w:rsidRDefault="005C28EF">
      <w:pPr>
        <w:tabs>
          <w:tab w:val="left" w:pos="331"/>
        </w:tabs>
        <w:ind w:left="360" w:hanging="360"/>
      </w:pPr>
      <w:r>
        <w:t>4.</w:t>
      </w:r>
      <w:r>
        <w:tab/>
        <w:t xml:space="preserve">When the Dirham depreciates versus the dollar, the costs to a Moroccan firm that </w:t>
      </w:r>
      <w:r>
        <w:lastRenderedPageBreak/>
        <w:t>imports petroleum will rise. This depresses its profits. On the other hand, that firm will be able to register a profit for its products priced in dollar (increasing its Dirham price without changing the dollar price), so there may be some offsetting effects. But, by and large, a firm that has substantial imported input costs does not relish a depreciating home currency.</w:t>
      </w:r>
    </w:p>
    <w:p w:rsidR="00BF2875" w:rsidRDefault="005C28EF">
      <w:pPr>
        <w:tabs>
          <w:tab w:val="left" w:pos="331"/>
        </w:tabs>
        <w:ind w:left="360" w:hanging="360"/>
      </w:pPr>
      <w:r>
        <w:t>5.</w:t>
      </w:r>
      <w:r>
        <w:tab/>
        <w:t>The euro rates of return are as follows:</w:t>
      </w:r>
    </w:p>
    <w:p w:rsidR="00BF2875" w:rsidRDefault="00AE68D4">
      <w:pPr>
        <w:tabs>
          <w:tab w:val="left" w:pos="846"/>
        </w:tabs>
      </w:pPr>
      <w:r>
        <w:t xml:space="preserve">       </w:t>
      </w:r>
      <w:r w:rsidR="005C28EF">
        <w:t>a.</w:t>
      </w:r>
      <w:r w:rsidR="005C28EF">
        <w:tab/>
        <w:t>(€250,000 - €200,000)/€200,000 = 0.25.</w:t>
      </w:r>
    </w:p>
    <w:p w:rsidR="00BF2875" w:rsidRDefault="00AE68D4">
      <w:pPr>
        <w:tabs>
          <w:tab w:val="left" w:pos="846"/>
        </w:tabs>
      </w:pPr>
      <w:r>
        <w:t xml:space="preserve">       </w:t>
      </w:r>
      <w:r w:rsidR="005C28EF">
        <w:t>b.</w:t>
      </w:r>
      <w:r w:rsidR="005C28EF">
        <w:tab/>
        <w:t>(€21000 - € 20000)/€20000 = 0.05.</w:t>
      </w:r>
    </w:p>
    <w:p w:rsidR="00BF2875" w:rsidRDefault="00AE68D4">
      <w:pPr>
        <w:tabs>
          <w:tab w:val="left" w:pos="846"/>
        </w:tabs>
        <w:ind w:left="360" w:hanging="360"/>
      </w:pPr>
      <w:r>
        <w:t xml:space="preserve">       </w:t>
      </w:r>
      <w:r w:rsidR="005C28EF">
        <w:t>c.</w:t>
      </w:r>
      <w:r w:rsidR="005C28EF">
        <w:tab/>
        <w:t>There are two parts to this return. One is the gain involved due to the appreciation of the euro; the euro appreciation is ($1.17 - 1.36)/$ 1.36 = 0.14. The other part of the return is the interest paid by the London bank on the deposit, 2%. (The size of the deposit is immaterial to the calculation of the rate of return.) In terms of euros, the realized return on the London deposit is thus 2.14% per year.</w:t>
      </w:r>
    </w:p>
    <w:p w:rsidR="00BF2875" w:rsidRDefault="005C28EF">
      <w:pPr>
        <w:tabs>
          <w:tab w:val="left" w:pos="462"/>
        </w:tabs>
        <w:ind w:left="360" w:hanging="360"/>
      </w:pPr>
      <w:r>
        <w:t>6.</w:t>
      </w:r>
      <w:r>
        <w:tab/>
        <w:t>Note here that the ordering of the returns of the three assets is the same whether we calculate real or nominal returns.</w:t>
      </w:r>
    </w:p>
    <w:p w:rsidR="00BF2875" w:rsidRDefault="00AE68D4">
      <w:pPr>
        <w:tabs>
          <w:tab w:val="left" w:pos="846"/>
        </w:tabs>
        <w:ind w:left="360" w:hanging="360"/>
      </w:pPr>
      <w:r>
        <w:t xml:space="preserve">     </w:t>
      </w:r>
      <w:r w:rsidR="005C28EF">
        <w:t>a.</w:t>
      </w:r>
      <w:r w:rsidR="005C28EF">
        <w:tab/>
        <w:t>The real return on the house would be 25% - 10% =15%. This return could also be calculated by first finding the portion of the $50,000 nominal increase in the house’s price due to inflation ($20,000), then finding the portion of the nominal increase due to real appreciation ($30,000), and finally finding the appropriate real rate of return ($30,000/$200,000 = 0.15).</w:t>
      </w:r>
    </w:p>
    <w:p w:rsidR="00B3002A" w:rsidRDefault="00AE68D4">
      <w:pPr>
        <w:tabs>
          <w:tab w:val="left" w:pos="846"/>
        </w:tabs>
      </w:pPr>
      <w:r>
        <w:t xml:space="preserve">     </w:t>
      </w:r>
      <w:r w:rsidR="005C28EF">
        <w:t>b.</w:t>
      </w:r>
      <w:r w:rsidR="005C28EF">
        <w:tab/>
        <w:t>Again, subtracting the inflation rate from the no</w:t>
      </w:r>
      <w:r>
        <w:t>minal return, we get 8% - 10%</w:t>
      </w:r>
      <w:r w:rsidR="00B3002A">
        <w:t xml:space="preserve"> =        </w:t>
      </w:r>
      <w:r w:rsidR="005C28EF">
        <w:t>-2%.</w:t>
      </w:r>
      <w:r>
        <w:t xml:space="preserve"> </w:t>
      </w:r>
    </w:p>
    <w:p w:rsidR="00BF2875" w:rsidRDefault="00B3002A">
      <w:pPr>
        <w:tabs>
          <w:tab w:val="left" w:pos="846"/>
        </w:tabs>
      </w:pPr>
      <w:r>
        <w:t xml:space="preserve">     </w:t>
      </w:r>
      <w:r w:rsidR="005C28EF">
        <w:t>c.</w:t>
      </w:r>
      <w:r w:rsidR="005C28EF">
        <w:tab/>
        <w:t>2%-10% =-8%.</w:t>
      </w:r>
    </w:p>
    <w:p w:rsidR="00BF2875" w:rsidRDefault="005C28EF">
      <w:pPr>
        <w:tabs>
          <w:tab w:val="left" w:pos="462"/>
        </w:tabs>
        <w:ind w:left="360" w:hanging="360"/>
      </w:pPr>
      <w:r>
        <w:t>7.</w:t>
      </w:r>
      <w:r>
        <w:tab/>
        <w:t>The current equilibrium exchange rate must equal its expected future level since, with equality of nominal interest rates, there can be no expected increase or decrease in the MXN/INR exchange rate in equilibrium. If the expected exchange rate remains at 3.40 INR per Peso and the INR interest rate rises to 10 % (5 % higher than Mexican interest rates),</w:t>
      </w:r>
      <w:bookmarkStart w:id="1" w:name="_GoBack"/>
      <w:bookmarkEnd w:id="1"/>
      <w:r>
        <w:t xml:space="preserve"> then interest parity is satisfied only if the current exchange rate changes such that there is an expected appreciation of the Peso equal to 5%%. This will occur when the exchange rate rises to 3.57 INR per Peso (a depreciation of the INR against the Peso).</w:t>
      </w:r>
    </w:p>
    <w:p w:rsidR="00BF2875" w:rsidRDefault="005C28EF" w:rsidP="00AE68D4">
      <w:pPr>
        <w:tabs>
          <w:tab w:val="left" w:pos="462"/>
        </w:tabs>
        <w:ind w:left="360" w:hanging="360"/>
      </w:pPr>
      <w:r>
        <w:t>8.</w:t>
      </w:r>
      <w:r>
        <w:tab/>
        <w:t xml:space="preserve">If market traders learn that the dollar interest rate will soon fall, they also revise upward their expectation of the dollar’s future depreciation in the foreign exchange </w:t>
      </w:r>
      <w:r>
        <w:lastRenderedPageBreak/>
        <w:t>market. Given the current exchange rate and interest rates, there is thus a rise in the expected dollar return on euro deposits from</w:t>
      </w:r>
      <w:r w:rsidR="00AE68D4">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EU,1</m:t>
            </m:r>
          </m:sub>
          <m:sup>
            <m:r>
              <w:rPr>
                <w:rFonts w:ascii="Cambria Math" w:hAnsi="Cambria Math"/>
              </w:rPr>
              <m:t>e</m:t>
            </m:r>
          </m:sup>
        </m:sSubSup>
      </m:oMath>
      <w:r w:rsidR="00AE68D4">
        <w:t xml:space="preserve"> </w:t>
      </w:r>
      <m:oMath>
        <m:r>
          <w:rPr>
            <w:rFonts w:ascii="Cambria Math" w:hAnsi="Cambria Math"/>
          </w:rPr>
          <m:t xml:space="preserve"> </m:t>
        </m:r>
      </m:oMath>
      <w:r>
        <w:t>to</w:t>
      </w:r>
      <w:r w:rsidR="00AE68D4">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EU,2</m:t>
            </m:r>
          </m:sub>
          <m:sup>
            <m:r>
              <w:rPr>
                <w:rFonts w:ascii="Cambria Math" w:hAnsi="Cambria Math"/>
              </w:rPr>
              <m:t>e</m:t>
            </m:r>
          </m:sup>
        </m:sSubSup>
      </m:oMath>
      <w:r>
        <w:t>. At the current exchange rate of</w:t>
      </w:r>
      <w:r w:rsidR="00AE68D4">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the dollar return on a European asset exceeds the dollar return on a U.S. asset. As investors shift their money into European assets, the dollar will depreciate against the euro. This will drive down the dollar return on European assets until interest rate parity is restored at the new exchange rate</w:t>
      </w:r>
      <w:r w:rsidR="00AE68D4">
        <w:t xml:space="preserve">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t>.</w:t>
      </w:r>
    </w:p>
    <w:p w:rsidR="00BF2875" w:rsidRDefault="005C28EF" w:rsidP="00AE68D4">
      <w:pPr>
        <w:tabs>
          <w:tab w:val="left" w:pos="300"/>
        </w:tabs>
        <w:ind w:left="360" w:hanging="360"/>
      </w:pPr>
      <w:r>
        <w:t>9.</w:t>
      </w:r>
      <w:r>
        <w:tab/>
        <w:t>The analysis will be parallel to that in the text. As shown in the accompanying diagrams, a movement down the vertical axis in the new graph, however, is interpreted as a euro appreciation and dollar depreciation rather than the reverse. Also, the horizontal axis now measures the euro interest rate.</w:t>
      </w:r>
      <w:r w:rsidR="00AE68D4">
        <w:t xml:space="preserve"> </w:t>
      </w:r>
      <w:r>
        <w:t xml:space="preserve">The two diagrams below show the effects of an increase in European interest rates and an increase in the expected future exchange rate in terms of euros per dollar. In the first case, an increase in European interest rates raises the euro return on a European asset above the euro return on an American asset. This will cause the exchange rate to fall (euro appreciation, dollar depreciation) from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t>.</w:t>
      </w:r>
    </w:p>
    <w:p w:rsidR="00BF2875" w:rsidRDefault="00FC42B4">
      <w:pPr>
        <w:rPr>
          <w:sz w:val="2"/>
          <w:szCs w:val="2"/>
        </w:rPr>
      </w:pPr>
      <w:r>
        <w:rPr>
          <w:noProof/>
          <w:lang w:val="it-IT" w:eastAsia="it-IT" w:bidi="ar-SA"/>
        </w:rPr>
        <w:drawing>
          <wp:inline distT="0" distB="0" distL="0" distR="0">
            <wp:extent cx="4391025" cy="1781175"/>
            <wp:effectExtent l="0" t="0" r="9525" b="9525"/>
            <wp:docPr id="1" name="Picture 1" descr="C:\Users\Marco\AppData\Local\Temp\FineReader12.00\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AppData\Local\Temp\FineReader12.00\media\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1025" cy="1781175"/>
                    </a:xfrm>
                    <a:prstGeom prst="rect">
                      <a:avLst/>
                    </a:prstGeom>
                    <a:noFill/>
                    <a:ln>
                      <a:noFill/>
                    </a:ln>
                  </pic:spPr>
                </pic:pic>
              </a:graphicData>
            </a:graphic>
          </wp:inline>
        </w:drawing>
      </w:r>
    </w:p>
    <w:p w:rsidR="00BF2875" w:rsidRDefault="00AE68D4" w:rsidP="00AE68D4">
      <w:pPr>
        <w:ind w:left="360" w:hanging="360"/>
      </w:pPr>
      <w:r>
        <w:t xml:space="preserve">     </w:t>
      </w:r>
      <w:r w:rsidR="005C28EF">
        <w:t>In the second case, the expected appreciation of the dollar raises the euro return on an American asset</w:t>
      </w:r>
      <w:r>
        <w:t xml:space="preserve"> </w:t>
      </w:r>
      <w:r w:rsidR="005C28EF">
        <w:t xml:space="preserve">from </w:t>
      </w:r>
      <m:oMath>
        <m:sSubSup>
          <m:sSubSupPr>
            <m:ctrlPr>
              <w:rPr>
                <w:rFonts w:ascii="Cambria Math" w:hAnsi="Cambria Math"/>
                <w:i/>
              </w:rPr>
            </m:ctrlPr>
          </m:sSubSupPr>
          <m:e>
            <m:r>
              <w:rPr>
                <w:rFonts w:ascii="Cambria Math" w:hAnsi="Cambria Math"/>
              </w:rPr>
              <m:t>R</m:t>
            </m:r>
          </m:e>
          <m:sub>
            <m:r>
              <w:rPr>
                <w:rFonts w:ascii="Cambria Math" w:hAnsi="Cambria Math"/>
              </w:rPr>
              <m:t>US,1</m:t>
            </m:r>
          </m:sub>
          <m:sup>
            <m:r>
              <w:rPr>
                <w:rFonts w:ascii="Cambria Math" w:hAnsi="Cambria Math"/>
              </w:rPr>
              <m:t>e</m:t>
            </m:r>
          </m:sup>
        </m:sSubSup>
      </m:oMath>
      <w:r>
        <w:t xml:space="preserve"> </w:t>
      </w:r>
      <m:oMath>
        <m:r>
          <w:rPr>
            <w:rFonts w:ascii="Cambria Math" w:hAnsi="Cambria Math"/>
          </w:rPr>
          <m:t xml:space="preserve"> </m:t>
        </m:r>
      </m:oMath>
      <w:r>
        <w:t xml:space="preserve">to </w:t>
      </w:r>
      <m:oMath>
        <m:sSubSup>
          <m:sSubSupPr>
            <m:ctrlPr>
              <w:rPr>
                <w:rFonts w:ascii="Cambria Math" w:hAnsi="Cambria Math"/>
                <w:i/>
              </w:rPr>
            </m:ctrlPr>
          </m:sSubSupPr>
          <m:e>
            <m:r>
              <w:rPr>
                <w:rFonts w:ascii="Cambria Math" w:hAnsi="Cambria Math"/>
              </w:rPr>
              <m:t>R</m:t>
            </m:r>
          </m:e>
          <m:sub>
            <m:r>
              <w:rPr>
                <w:rFonts w:ascii="Cambria Math" w:hAnsi="Cambria Math"/>
              </w:rPr>
              <m:t>US,2</m:t>
            </m:r>
          </m:sub>
          <m:sup>
            <m:r>
              <w:rPr>
                <w:rFonts w:ascii="Cambria Math" w:hAnsi="Cambria Math"/>
              </w:rPr>
              <m:t>e</m:t>
            </m:r>
          </m:sup>
        </m:sSubSup>
      </m:oMath>
      <w:r>
        <w:t xml:space="preserve">. </w:t>
      </w:r>
      <w:r w:rsidR="005C28EF">
        <w:t>At the current exchange rate, American assets pay a higher euro return and the exchange rate must rise (euro depreciation, dollar appreciation) to restore interest rate parity.</w:t>
      </w:r>
    </w:p>
    <w:p w:rsidR="00BF2875" w:rsidRDefault="005C28EF">
      <w:pPr>
        <w:tabs>
          <w:tab w:val="left" w:pos="370"/>
        </w:tabs>
        <w:ind w:left="360" w:hanging="360"/>
      </w:pPr>
      <w:r>
        <w:t>10.</w:t>
      </w:r>
      <w:r>
        <w:tab/>
      </w:r>
      <w:r w:rsidR="00AE68D4">
        <w:t xml:space="preserve">The IMF country report on Korea </w:t>
      </w:r>
      <w:r>
        <w:t>h</w:t>
      </w:r>
      <w:r w:rsidR="00AE68D4">
        <w:t>tt</w:t>
      </w:r>
      <w:r>
        <w:t>ps://</w:t>
      </w:r>
      <w:hyperlink r:id="rId7" w:history="1">
        <w:r>
          <w:rPr>
            <w:rStyle w:val="Hyperlink"/>
          </w:rPr>
          <w:t>www.imf.org/extemal/pubs/ft/scr/2016/crl6278.pdf</w:t>
        </w:r>
      </w:hyperlink>
      <w:r>
        <w:t xml:space="preserve"> provides elements to evaluate the consequence of Chinese transformation on Korea of the Chinese economic transformation.</w:t>
      </w:r>
    </w:p>
    <w:p w:rsidR="00BF2875" w:rsidRDefault="00AE68D4">
      <w:pPr>
        <w:tabs>
          <w:tab w:val="left" w:pos="845"/>
        </w:tabs>
        <w:ind w:left="360" w:hanging="360"/>
      </w:pPr>
      <w:r>
        <w:t xml:space="preserve">     </w:t>
      </w:r>
      <w:r w:rsidR="005C28EF">
        <w:t>a.</w:t>
      </w:r>
      <w:r w:rsidR="005C28EF">
        <w:tab/>
        <w:t xml:space="preserve">After decades of impressive economic progress, Korea’s growth has slowed, and the economy is facing a number of structural headwinds. A sharper-than-expected growth slowdown in China will have a large negative impact on Korea’s </w:t>
      </w:r>
      <w:r w:rsidR="005C28EF">
        <w:lastRenderedPageBreak/>
        <w:t>exports as China is Korea’s main trading partner, accounting for 25 % of its exports. With exports exceeding 50 % of GDP—one of the highest shares among advanced economies—Korea is thus heavily exposed to spillovers, particularly from China. China’s slowing growth, rebalancing toward domestic demand, and moving up the value chain will all affect Korea substantially. Second-round effects could come into play as a slowdown in China would affect the global economy.</w:t>
      </w:r>
    </w:p>
    <w:p w:rsidR="00BF2875" w:rsidRDefault="00AE68D4" w:rsidP="00AE68D4">
      <w:pPr>
        <w:tabs>
          <w:tab w:val="left" w:pos="845"/>
        </w:tabs>
        <w:ind w:left="360" w:hanging="360"/>
      </w:pPr>
      <w:r>
        <w:t xml:space="preserve">     </w:t>
      </w:r>
      <w:r w:rsidR="005C28EF">
        <w:t>b.</w:t>
      </w:r>
      <w:r w:rsidR="005C28EF">
        <w:tab/>
        <w:t>As the IMF report quote “rate flexibility, coupled with possible FX intervention” should be a policy response to such a situation. For example a depreciation of the Korean Won could partly</w:t>
      </w:r>
      <w:r>
        <w:t xml:space="preserve"> </w:t>
      </w:r>
      <w:r w:rsidR="005C28EF">
        <w:t>compensate a sluggish export demand - all the more so that the current account of Korea is for now strongly positive.</w:t>
      </w:r>
    </w:p>
    <w:p w:rsidR="00BF2875" w:rsidRDefault="005C28EF">
      <w:pPr>
        <w:tabs>
          <w:tab w:val="left" w:pos="421"/>
        </w:tabs>
        <w:ind w:left="360" w:hanging="360"/>
      </w:pPr>
      <w:r>
        <w:t>11.</w:t>
      </w:r>
      <w:r>
        <w:tab/>
        <w:t>The euro is less risky for you. When the rest of your wealth falls, the euro tends to appreciate, cushioning your losses by giving you a relatively high payoff in terms of dollars. Losses on your euro assets, on the other hand, tend to occur when they are least painful, that is, when the rest of your wealth is unexpectedly high. Holding the euro, therefore, reduces the variability of your total wealth.</w:t>
      </w:r>
    </w:p>
    <w:p w:rsidR="00BF2875" w:rsidRDefault="005C28EF">
      <w:pPr>
        <w:tabs>
          <w:tab w:val="left" w:pos="421"/>
        </w:tabs>
        <w:ind w:left="360" w:hanging="360"/>
      </w:pPr>
      <w:r>
        <w:t>12.</w:t>
      </w:r>
      <w:r>
        <w:tab/>
        <w:t xml:space="preserve">The chapter states that most foreign exchange transactions between banks (which accounts for the vast majority of foreign exchange transactions) involve exchanges of foreign currencies for U.S. dollars, even when the ultimate transaction involves the sale of one nondollar currency for another nondollar currency. This central role of the dollar makes it a vehicle currency in international transactions. The reason the dollar serves as a vehicle currency is that it is the most liquid of currencies because it is easy to find people willing to trade foreign currencies for dollars. The greater liquidity of the dollar as compared to, say, the Mexican peso, means that people are more willing to hold the dollar than the peso, and thus, dollar deposits can offer a lower interest rate, for any expected rate of depreciation against a third currency, than peso deposits for the same rate of depreciation against that third currency. As the world capital market becomes increasingly integrated, the liquidity advantages of holding dollar deposits as opposed to euro deposits will probably diminish. The euro represents an economy as large as the United States, so it is possible that it will assume some of that vehicle role of the dollar, reducing the liquidity advantages to as far as zero. When it was first introduced in 1999, the euro had no history as a currency, though, so some investors may have been leery of holding it until it established a track record. As the euro has become more established, though, the </w:t>
      </w:r>
      <w:r>
        <w:lastRenderedPageBreak/>
        <w:t>liquidity advantage of the dollar should be fading (albeit slowly).</w:t>
      </w:r>
    </w:p>
    <w:p w:rsidR="00BF2875" w:rsidRDefault="005C28EF" w:rsidP="00FC42B4">
      <w:pPr>
        <w:tabs>
          <w:tab w:val="left" w:pos="421"/>
        </w:tabs>
        <w:ind w:left="360" w:hanging="360"/>
      </w:pPr>
      <w:r>
        <w:t>13.</w:t>
      </w:r>
      <w:r>
        <w:tab/>
        <w:t>The interest rate parity condition tells us that interest rates and exchange rates are directly linked. As interest rates become more volatile, so too will exchange rates. For example, suppose that the European Central Bank actively limits fluctuations in euro interest rates while the Federal Reserve does not intervene to keep dollar interest rates stable. Interest rate parity states that:</w:t>
      </w:r>
      <w:r w:rsidR="00FC42B4">
        <w:t xml:space="preserve"> </w:t>
      </w:r>
      <m:oMath>
        <m:sSub>
          <m:sSubPr>
            <m:ctrlPr>
              <w:rPr>
                <w:rFonts w:ascii="Cambria Math" w:hAnsi="Cambria Math"/>
                <w:i/>
              </w:rPr>
            </m:ctrlPr>
          </m:sSubPr>
          <m:e>
            <m:r>
              <w:rPr>
                <w:rFonts w:ascii="Cambria Math" w:hAnsi="Cambria Math"/>
              </w:rPr>
              <m:t>R</m:t>
            </m:r>
          </m:e>
          <m:sub>
            <m:r>
              <w:rPr>
                <w:rFonts w:ascii="Cambria Math" w:hAnsi="Cambria Math"/>
              </w:rPr>
              <m:t>US</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EU=</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m:t>
            </m:r>
          </m:sub>
          <m:sup>
            <m:r>
              <w:rPr>
                <w:rFonts w:ascii="Cambria Math" w:hAnsi="Cambria Math"/>
              </w:rPr>
              <m:t>e</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t>
            </m:r>
          </m:sub>
        </m:sSub>
      </m:oMath>
      <w:r>
        <w:t>If the left-hand side of this equation becomes more volatile, then so too must the right-hand side. Assuming that expectations remain unchanged, then this increase in volatility will be reflected in higher variablility of the exchange rate.</w:t>
      </w:r>
    </w:p>
    <w:p w:rsidR="00BF2875" w:rsidRDefault="005C28EF" w:rsidP="00FC42B4">
      <w:pPr>
        <w:tabs>
          <w:tab w:val="left" w:pos="421"/>
        </w:tabs>
        <w:ind w:left="360" w:hanging="360"/>
      </w:pPr>
      <w:r>
        <w:t>14.</w:t>
      </w:r>
      <w:r>
        <w:tab/>
        <w:t>The interest rate parity condition tells us that the interest rates and the exchange rates are directly linked. If the consequence of the decision of the Central Bank is that interest rates become more</w:t>
      </w:r>
      <w:r w:rsidR="00FC42B4">
        <w:t xml:space="preserve"> </w:t>
      </w:r>
      <w:r>
        <w:t>volatile, so too will exchange rates. For example, suppose that the Central Bank does not intervene to keep its currency interest rates stable. Interest rate parity states that (with NC: national currency and FC: foreign currency):</w:t>
      </w:r>
      <w:r w:rsidR="00FC42B4">
        <w:t xml:space="preserve"> </w:t>
      </w:r>
      <m:oMath>
        <m:sSub>
          <m:sSubPr>
            <m:ctrlPr>
              <w:rPr>
                <w:rFonts w:ascii="Cambria Math" w:hAnsi="Cambria Math"/>
                <w:i/>
              </w:rPr>
            </m:ctrlPr>
          </m:sSubPr>
          <m:e>
            <m:r>
              <w:rPr>
                <w:rFonts w:ascii="Cambria Math" w:hAnsi="Cambria Math"/>
              </w:rPr>
              <m:t>R</m:t>
            </m:r>
          </m:e>
          <m:sub>
            <m:r>
              <w:rPr>
                <w:rFonts w:ascii="Cambria Math" w:hAnsi="Cambria Math"/>
              </w:rPr>
              <m:t>NC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FC</m:t>
            </m:r>
          </m:sub>
        </m:sSub>
        <m:r>
          <w:rPr>
            <w:rFonts w:ascii="Cambria Math" w:hAnsi="Cambria Math"/>
          </w:rPr>
          <m:t>= (</m:t>
        </m:r>
        <m:sSubSup>
          <m:sSubSupPr>
            <m:ctrlPr>
              <w:rPr>
                <w:rFonts w:ascii="Cambria Math" w:hAnsi="Cambria Math"/>
                <w:i/>
              </w:rPr>
            </m:ctrlPr>
          </m:sSubSupPr>
          <m:e>
            <m:r>
              <w:rPr>
                <w:rFonts w:ascii="Cambria Math" w:hAnsi="Cambria Math"/>
              </w:rPr>
              <m:t>E</m:t>
            </m:r>
          </m:e>
          <m:sub>
            <m:r>
              <w:rPr>
                <w:rFonts w:ascii="Cambria Math" w:hAnsi="Cambria Math"/>
              </w:rPr>
              <m:t>NC/FC</m:t>
            </m:r>
          </m:sub>
          <m:sup>
            <m:r>
              <w:rPr>
                <w:rFonts w:ascii="Cambria Math" w:hAnsi="Cambria Math"/>
              </w:rPr>
              <m:t>e</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NC/FC</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NC/FC</m:t>
            </m:r>
          </m:sub>
        </m:sSub>
      </m:oMath>
      <w:r w:rsidR="00FC42B4">
        <w:rPr>
          <w:smallCaps/>
        </w:rPr>
        <w:t xml:space="preserve"> </w:t>
      </w:r>
      <w:r>
        <w:t>If the left-hand side of this equation becomes more volatile, then so too must the right-hand side. Assuming that expectations remain unchanged, then this increase in volatility will be reflected in higher variability of the exchange rate.</w:t>
      </w:r>
    </w:p>
    <w:p w:rsidR="00BF2875" w:rsidRDefault="005C28EF">
      <w:pPr>
        <w:tabs>
          <w:tab w:val="left" w:pos="421"/>
        </w:tabs>
        <w:ind w:left="360" w:hanging="360"/>
      </w:pPr>
      <w:r>
        <w:t>15.</w:t>
      </w:r>
      <w:r>
        <w:tab/>
        <w:t>The forward premium can be calculated as described in the Appendix. In this case, we find the forward premium on ZAR to be (23 - 20)/20 = 0.15. The interest rate difference between a Rand one- year deposit and a Naira one-year deposit must equal the forward premium when covered interest parity holds.</w:t>
      </w:r>
    </w:p>
    <w:p w:rsidR="00BF2875" w:rsidRDefault="005C28EF">
      <w:pPr>
        <w:tabs>
          <w:tab w:val="left" w:pos="421"/>
        </w:tabs>
        <w:ind w:left="360" w:hanging="360"/>
      </w:pPr>
      <w:r>
        <w:t>16.</w:t>
      </w:r>
      <w:r>
        <w:tab/>
        <w:t>The value should have gone down as there is no more need to engage in intra-EU foreign currency trading. This represents the predicted transaction cost savings stemming from the euro. At the same time, the importance of the euro as an international currency may have generated more trading in euros as more investors (from central banks to individual investors) choose to hold their funds in euros or denominate transactions in euros. On net, though, we would expect the value of foreign exchange trading in euros to be less than the sum of the previous currencies.</w:t>
      </w:r>
    </w:p>
    <w:p w:rsidR="00BF2875" w:rsidRDefault="005C28EF">
      <w:pPr>
        <w:tabs>
          <w:tab w:val="left" w:pos="421"/>
        </w:tabs>
        <w:ind w:left="360" w:hanging="360"/>
      </w:pPr>
      <w:r>
        <w:t>17.</w:t>
      </w:r>
      <w:r>
        <w:tab/>
        <w:t xml:space="preserve">If the dollar depreciated, all else being equal, we would expect outsourcing to diminish. If, as the problem states, much of the outsourcing is an attempt to move production to locations that are relatively cheaper, then the United States becomes relatively cheap when the dollar depreciates. Although it may not be as cheap a </w:t>
      </w:r>
      <w:r>
        <w:lastRenderedPageBreak/>
        <w:t>destination as some other locations, at the margin, labor costs in the United States will have become relatively cheaper, making some firms choose to retain production at home. For example, we could say that the labor costs of producing a computer in Malaysia is $220 and the extra transport cost is $50, but the U.S. costs were $300; then we would expect the firm to outsource. On the other hand, if the dollar depreciated 20% against the Malaysian ringitt, the labor costs in Malaysia would now be $264 (that is, 20% higher in dollar terms, but unchanged in local currency). This, plus the transport costs, makes production in Malaysia more expensive than in the United States, making outsourcing a less attractive option.</w:t>
      </w:r>
    </w:p>
    <w:p w:rsidR="00FC42B4" w:rsidRDefault="005C28EF" w:rsidP="00FC42B4">
      <w:pPr>
        <w:tabs>
          <w:tab w:val="left" w:pos="421"/>
        </w:tabs>
        <w:ind w:left="360" w:hanging="360"/>
      </w:pPr>
      <w:r>
        <w:t>18.</w:t>
      </w:r>
      <w:r>
        <w:tab/>
        <w:t>a. The best carry trade, all things being equal, is obtained when the difference between the interest</w:t>
      </w:r>
      <w:r w:rsidR="00FC42B4">
        <w:t xml:space="preserve"> </w:t>
      </w:r>
      <w:r>
        <w:t>rate is the highest. For example, between euro (or Yen, or USA) and Russia, South Africa, Mexico or China.</w:t>
      </w:r>
    </w:p>
    <w:p w:rsidR="00BF2875" w:rsidRDefault="00FC42B4" w:rsidP="00FC42B4">
      <w:pPr>
        <w:tabs>
          <w:tab w:val="left" w:pos="421"/>
        </w:tabs>
        <w:ind w:left="360" w:hanging="360"/>
      </w:pPr>
      <w:r>
        <w:t xml:space="preserve">     </w:t>
      </w:r>
      <w:r w:rsidR="005C28EF">
        <w:t>b. All these high interest rate economies are exposed to</w:t>
      </w:r>
      <w:r>
        <w:t xml:space="preserve"> instability risks, which could                                 </w:t>
      </w:r>
      <w:r w:rsidR="005C28EF">
        <w:t>lead to a currency depreciation, which could offset the expected gain on the carry trade. For example, the</w:t>
      </w:r>
      <w:r>
        <w:t xml:space="preserve"> </w:t>
      </w:r>
      <w:r w:rsidR="005C28EF">
        <w:t>exchange rate between the euro and the South African Rand between February 2015 and February 2016 has depreciated by 38% (from 13 rand for one euro to 18 rand for one euro). As the pressure on China to reevaluate the RMB and because of the greatest economic weight of this country, the spread on the Chinese currency should be the less risky (in fact the exchange rate was 7.53 RMB for one euro in January 2015, and 7.36 in January 2017).</w:t>
      </w:r>
    </w:p>
    <w:p w:rsidR="00BF2875" w:rsidRDefault="00FC42B4">
      <w:pPr>
        <w:tabs>
          <w:tab w:val="left" w:pos="825"/>
        </w:tabs>
        <w:ind w:left="360" w:hanging="360"/>
      </w:pPr>
      <w:r>
        <w:t xml:space="preserve">     </w:t>
      </w:r>
      <w:r w:rsidR="005C28EF">
        <w:t>c.</w:t>
      </w:r>
      <w:r w:rsidR="005C28EF">
        <w:tab/>
        <w:t>The carry trade (before the impact of the exchange rate) between euro and the Peso is 5.70 and with the Ruble 14.95. As the exchange rate between the euro and the Ruble has appreciated between January 2015 and January 2017 of 8.2% (70 Ruble for 1 euro to 64 R/€) the carry trade will be 23.15- but the volatility between these two date was extreme as the Ruble depreciated of nearly 90% between March 2015 (53 R/€) and February 2016 (97R/€) and then the carry trade could be highly negative. As for the Mexican Peso, the exchange rate between January 2015 and January 2017 has depreciated by 21% (from 17.9 for one € in 2015 to 21.8 in 2017). So the carry trade will be a loss.</w:t>
      </w:r>
    </w:p>
    <w:p w:rsidR="00BF2875" w:rsidRDefault="005C28EF">
      <w:pPr>
        <w:tabs>
          <w:tab w:val="left" w:pos="518"/>
        </w:tabs>
        <w:ind w:left="360" w:hanging="360"/>
      </w:pPr>
      <w:r>
        <w:t>19.</w:t>
      </w:r>
      <w:r>
        <w:tab/>
        <w:t xml:space="preserve">As per the question, a currency depreciation benefits exporters and hurts consumers by raising the cost of living. Exporters tend to have more influence with the government for two reasons. First, there are fewer exporters than there are consumers, so the gains from a currency depreciation are much more heavily </w:t>
      </w:r>
      <w:r>
        <w:lastRenderedPageBreak/>
        <w:t>concentrated than the losses. As a result, each individual exporter will put forth more effort in lobbying the government than each individual consumer. Second, exporters are much easier to organize and coordinate than are a disparate mass of consumers. There are effective enforcement mechanisms in place to ensure that all exporters contribute to get a government to depreciate the currency, thus reducing the risk of free riding. Consumers will have a much harder time coordinating their lobbying efforts because there is no effective way to ensure that every consumer contributes toward such an effort. The risk of free riding is much higher among consumers.</w:t>
      </w:r>
    </w:p>
    <w:p w:rsidR="00BF2875" w:rsidRDefault="00BF2875"/>
    <w:sectPr w:rsidR="00BF2875">
      <w:type w:val="continuous"/>
      <w:pgSz w:w="12240" w:h="16834"/>
      <w:pgMar w:top="1430" w:right="1440" w:bottom="143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1926" w:rsidRDefault="00141926">
      <w:r>
        <w:separator/>
      </w:r>
    </w:p>
  </w:endnote>
  <w:endnote w:type="continuationSeparator" w:id="0">
    <w:p w:rsidR="00141926" w:rsidRDefault="00141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1926" w:rsidRDefault="00141926"/>
  </w:footnote>
  <w:footnote w:type="continuationSeparator" w:id="0">
    <w:p w:rsidR="00141926" w:rsidRDefault="0014192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283"/>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875"/>
    <w:rsid w:val="00141926"/>
    <w:rsid w:val="005C28EF"/>
    <w:rsid w:val="00AE68D4"/>
    <w:rsid w:val="00B3002A"/>
    <w:rsid w:val="00BF2875"/>
    <w:rsid w:val="00FC42B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C250FF-C2F3-43D1-BD2F-40398E99C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styleId="PlaceholderText">
    <w:name w:val="Placeholder Text"/>
    <w:basedOn w:val="DefaultParagraphFont"/>
    <w:uiPriority w:val="99"/>
    <w:semiHidden/>
    <w:rsid w:val="00AE68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imf.org/extemal/pubs/ft/scr/2016/crl6278.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M12_KRUG8283_08_IM_C12</vt:lpstr>
    </vt:vector>
  </TitlesOfParts>
  <Company/>
  <LinksUpToDate>false</LinksUpToDate>
  <CharactersWithSpaces>15568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M12_KRUG8283_08_IM_C12</dc:title>
  <dc:subject/>
  <dc:creator>Marco Lavoratornovo</dc:creator>
  <cp:keywords/>
  <cp:lastModifiedBy>Marco Lavoratornovo</cp:lastModifiedBy>
  <cp:revision>2</cp:revision>
  <dcterms:created xsi:type="dcterms:W3CDTF">2019-02-27T18:17:00Z</dcterms:created>
  <dcterms:modified xsi:type="dcterms:W3CDTF">2019-02-27T18:35:00Z</dcterms:modified>
</cp:coreProperties>
</file>