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80"/>
      </w:pPr>
      <w:r>
        <w:rPr>
          <w:rFonts w:ascii="Hiragino Sans GB" w:hAnsi="Hiragino Sans GB" w:eastAsia="Hiragino Sans GB"/>
          <w:b/>
          <w:color w:val="168D86"/>
          <w:sz w:val="19"/>
        </w:rPr>
        <w:t>产品能力说明</w:t>
      </w:r>
    </w:p>
    <w:p>
      <w:pPr>
        <w:pStyle w:val="DocTitle"/>
      </w:pPr>
      <w:r>
        <w:rPr>
          <w:rFonts w:ascii="Hiragino Sans GB" w:hAnsi="Hiragino Sans GB" w:eastAsia="Hiragino Sans GB"/>
        </w:rPr>
        <w:t>AIDCP 多平台智能运营能力说明</w:t>
      </w:r>
    </w:p>
    <w:p>
      <w:pPr>
        <w:pStyle w:val="DocSubtitle"/>
      </w:pPr>
      <w:r>
        <w:rPr>
          <w:rFonts w:ascii="Hiragino Sans GB" w:hAnsi="Hiragino Sans GB" w:eastAsia="Hiragino Sans GB"/>
        </w:rPr>
        <w:t>多账号环境、内容增长、自动发布与评论私信处理的一体化方案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一套系统，覆盖完整运营过程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从账号环境和人设设置开始，持续完成内容发现、日常互动、创作改写、审核发布、评论私信处理和运营数据反馈。</w:t>
            </w:r>
          </w:p>
        </w:tc>
      </w:tr>
    </w:tbl>
    <w:p>
      <w:pPr>
        <w:spacing w:after="0" w:line="80" w:lineRule="exact"/>
      </w:pPr>
    </w:p>
    <w:p>
      <w:pPr>
        <w:pStyle w:val="Heading2"/>
        <w:spacing w:before="340" w:after="140"/>
      </w:pPr>
      <w:r>
        <w:rPr>
          <w:rFonts w:ascii="Hiragino Sans GB" w:hAnsi="Hiragino Sans GB" w:eastAsia="Hiragino Sans GB"/>
        </w:rPr>
        <w:t>平台能力方向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平台</w:t>
            </w:r>
          </w:p>
        </w:tc>
        <w:tc>
          <w:tcPr>
            <w:tcW w:type="dxa" w:w="48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主要能力</w:t>
            </w:r>
          </w:p>
        </w:tc>
        <w:tc>
          <w:tcPr>
            <w:tcW w:type="dxa" w:w="30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主要作用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小红书</w:t>
            </w:r>
          </w:p>
        </w:tc>
        <w:tc>
          <w:tcPr>
            <w:tcW w:type="dxa" w:w="48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热门内容收集、参考改写、日常互动、审核与定时发布</w:t>
            </w:r>
          </w:p>
        </w:tc>
        <w:tc>
          <w:tcPr>
            <w:tcW w:type="dxa" w:w="30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持续产出符合账号人设的内容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Facebook</w:t>
            </w:r>
          </w:p>
        </w:tc>
        <w:tc>
          <w:tcPr>
            <w:tcW w:type="dxa" w:w="48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多账号环境、动态浏览、群组运营、评论与个人发帖</w:t>
            </w:r>
          </w:p>
        </w:tc>
        <w:tc>
          <w:tcPr>
            <w:tcW w:type="dxa" w:w="30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扩大群组覆盖并保持账号持续活跃</w:t>
            </w:r>
          </w:p>
        </w:tc>
      </w:tr>
      <w:tr>
        <w:trPr/>
        <w:tc>
          <w:tcPr>
            <w:tcW w:type="dxa" w:w="15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视频号</w:t>
            </w:r>
          </w:p>
        </w:tc>
        <w:tc>
          <w:tcPr>
            <w:tcW w:type="dxa" w:w="48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评论和私信统一收取、回复草稿与人工确认；规划接入 AI 回复托管</w:t>
            </w:r>
          </w:p>
        </w:tc>
        <w:tc>
          <w:tcPr>
            <w:tcW w:type="dxa" w:w="30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集中处理消息，后续可托管评论和私信回复</w:t>
            </w:r>
          </w:p>
        </w:tc>
      </w:tr>
    </w:tbl>
    <w:p>
      <w:pPr>
        <w:spacing w:after="0" w:line="80" w:lineRule="exact"/>
      </w:pPr>
    </w:p>
    <w:p>
      <w:pPr>
        <w:pStyle w:val="Heading2"/>
        <w:spacing w:before="260" w:after="140"/>
      </w:pPr>
      <w:r>
        <w:rPr>
          <w:rFonts w:ascii="Hiragino Sans GB" w:hAnsi="Hiragino Sans GB" w:eastAsia="Hiragino Sans GB"/>
        </w:rPr>
        <w:t>运营过程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账号环境</w:t>
            </w:r>
          </w:p>
        </w:tc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人设运营</w:t>
            </w:r>
          </w:p>
        </w:tc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内容发现</w:t>
            </w:r>
          </w:p>
        </w:tc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创作发布</w:t>
            </w:r>
          </w:p>
        </w:tc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互动跟进</w:t>
            </w:r>
          </w:p>
        </w:tc>
        <w:tc>
          <w:tcPr>
            <w:tcW w:type="dxa" w:w="15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数据反馈</w:t>
            </w:r>
          </w:p>
        </w:tc>
      </w:tr>
      <w:tr>
        <w:trPr/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准备并隔离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保持方向一致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沉淀热门灵感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改写、审核、排期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处理评论私信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查看真实结果</w:t>
            </w:r>
          </w:p>
        </w:tc>
      </w:tr>
    </w:tbl>
    <w:p>
      <w:pPr>
        <w:spacing w:after="0" w:line="80" w:lineRule="exact"/>
      </w:pPr>
    </w:p>
    <w:p>
      <w:pPr>
        <w:keepLines/>
        <w:spacing w:after="0" w:line="276" w:lineRule="auto"/>
      </w:pPr>
      <w:r>
        <w:rPr>
          <w:rFonts w:ascii="Hiragino Sans GB" w:hAnsi="Hiragino Sans GB" w:eastAsia="Hiragino Sans GB"/>
          <w:color w:val="637189"/>
          <w:sz w:val="17"/>
        </w:rPr>
        <w:t>适用范围：各平台能力会随平台规则、账号状态与服务方案有所差异，以实际开通范围为准。</w:t>
      </w:r>
    </w:p>
    <w:p>
      <w:pPr>
        <w:spacing w:after="0"/>
      </w:pPr>
      <w:r>
        <w:rPr>
          <w:rFonts w:ascii="Hiragino Sans GB" w:hAnsi="Hiragino Sans GB" w:eastAsia="Hiragino Sans GB"/>
          <w:color w:val="637189"/>
          <w:sz w:val="16"/>
        </w:rPr>
        <w:t>版本：2026.07</w:t>
      </w:r>
    </w:p>
    <w:p>
      <w:pPr>
        <w:keepNext/>
        <w:keepLines/>
        <w:pageBreakBefore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01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一套系统，完成完整运营流程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账号准备、内容生产、发布和互动处理可以在同一条流程中推进，无需在多套工具之间反复切换。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560"/>
        <w:gridCol w:w="3100"/>
      </w:tblGrid>
      <w:tr>
        <w:trPr>
          <w:tblHeader w:val="true"/>
        </w:trPr>
        <w:tc>
          <w:tcPr>
            <w:tcW w:type="dxa" w:w="17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运营环节</w:t>
            </w:r>
          </w:p>
        </w:tc>
        <w:tc>
          <w:tcPr>
            <w:tcW w:type="dxa" w:w="45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AIDCP 提供的能力</w:t>
            </w:r>
          </w:p>
        </w:tc>
        <w:tc>
          <w:tcPr>
            <w:tcW w:type="dxa" w:w="31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带来的作用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账号准备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为每个账号建立独立浏览器环境，并可单独设置代理。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减少人工切换和账号相互关联的风险。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人设设置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设置账号身份、兴趣、内容方向、表达方式和语言。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让不同账号保持清晰差异。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日常运营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围绕人设浏览内容、阅读正文并进行适量互动。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减少重复的人工养号工作。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内容发现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在日常浏览中收集符合人设、互动表现较好的内容。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持续积累可用选题和创作灵感。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内容创作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一键生成新的标题、正文、话题和配图方案。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更快形成可审核的候选稿。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审核发布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支持人工审核、定时发布、任务排队和发布结果确认。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减少错账号、错时间和重复发布。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互动处理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集中处理 Facebook 互动；视频号支持评论和私信集中处理，后续接入 AI 回复托管。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缩短回复时间，减少消息遗漏；接入后可托管常规评论和私信回复。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团队协作</w:t>
            </w:r>
          </w:p>
        </w:tc>
        <w:tc>
          <w:tcPr>
            <w:tcW w:type="dxa" w:w="4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通过飞书接收审批、任务结果和异常提醒。</w:t>
            </w:r>
          </w:p>
        </w:tc>
        <w:tc>
          <w:tcPr>
            <w:tcW w:type="dxa" w:w="31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让运营进度和问题处理更加清晰。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整体价值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把分散的多账号操作，转变为系统按规则运行、关键步骤人工确认、全过程状态可查看。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02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一台电脑，管理多个独立账号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通过独立浏览器环境（指纹浏览器）和独立代理，让多个账号在同一台电脑上互不干扰地运行。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69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具体说明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独立浏览器身份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每个账号使用自己的浏览器身份、登录记录和运行空间。任务开始前再次核对登录身份，降低错账号操作风险。单个账号异常时，不影响其他账号继续运行。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独立代理网络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可为每个账号设置不同的代理 IP 和地区，减少多个账号长期共用同一网络造成的关联风险。调整代理前会提示网络变化可能带来的影响。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批量创建和运行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可加入已有环境，也可按平台新建环境。Facebook 支持批量导入账号资料和代理配置；账号可按平台筛选、批量启动并查看运行状态。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团队权限隔离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不同团队成员只能查看分配给自己的账号环境。支持停用账户、更新登录密钥和调整环境归属；账号与环境没有明确绑定时，系统会停止执行并提示处理。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带来的作用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用一台电脑同时运行多个账号，减少人工切换和账号串用，并降低因共用设备和网络导致账号被关联或限制的风险。</w:t>
            </w:r>
          </w:p>
        </w:tc>
      </w:tr>
    </w:tbl>
    <w:p>
      <w:pPr>
        <w:spacing w:after="0" w:line="80" w:lineRule="exact"/>
      </w:pPr>
    </w:p>
    <w:p>
      <w:pPr>
        <w:keepLines/>
        <w:spacing w:after="0" w:line="276" w:lineRule="auto"/>
      </w:pPr>
      <w:r>
        <w:rPr>
          <w:rFonts w:ascii="Hiragino Sans GB" w:hAnsi="Hiragino Sans GB" w:eastAsia="Hiragino Sans GB"/>
          <w:color w:val="637189"/>
          <w:sz w:val="17"/>
        </w:rPr>
        <w:t>适用范围：独立环境和代理用于降低关联与限制风险，不能替代平台规则，也不能保证账号永不受限。</w:t>
      </w: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03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让每个账号都拥有清晰的人设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先确定账号是谁、关注什么、如何表达，再围绕这份人设持续浏览、互动和创作。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69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具体说明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设置账号人设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为每个账号设置身份、兴趣领域、关键词、内容方向、表达方式和写作语言，让多个账号形成清晰差异。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围绕人设发现内容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从浏览过的内容中继续发现新话题，不只重复固定关键词。人设更新后，可立即用于新的浏览、评论和内容创作。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自然阅读与浏览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阅读正文、图片和评论，根据内容长度控制停留、滚动和翻页。内容不合适、目标缺失或页面异常时主动跳过。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按内容决定互动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小红书可判断是否点赞、收藏、关注或评论；Facebook 可浏览动态、点赞，并在指定内容或群组内评论。评论会结合内容和讨论，使用符合账号语言的表达。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自动控制运行节奏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可设置每天、每小时和每分钟的操作上限。新账号可先少量运行再逐步增加；只在允许时段运行，同一账号的评论和发布任务依次排队。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带来的作用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让账号的内容方向、互动方式和表达口吻保持一致，同时减少人工逐条浏览和判断的工作量。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04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小红书：从热门内容到可发布稿件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把选题发现、灵感沉淀、参考改写、配图生成和人工审核连接成一条内容生产流程。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发现热门内容</w:t>
            </w:r>
          </w:p>
        </w:tc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进入灵感库</w:t>
            </w:r>
          </w:p>
        </w:tc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一键参考改写</w:t>
            </w:r>
          </w:p>
        </w:tc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生成新配图</w:t>
            </w:r>
          </w:p>
        </w:tc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人工审核</w:t>
            </w:r>
          </w:p>
        </w:tc>
        <w:tc>
          <w:tcPr>
            <w:tcW w:type="dxa" w:w="1560"/>
            <w:shd w:fill="FFF3E7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安排发布</w:t>
            </w:r>
          </w:p>
        </w:tc>
      </w:tr>
      <w:tr>
        <w:trPr/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筛选符合人设的内容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按账号分类保存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生成新标题和正文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形成统一视觉方案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修改或确认稿件</w:t>
            </w:r>
          </w:p>
        </w:tc>
        <w:tc>
          <w:tcPr>
            <w:tcW w:type="dxa" w:w="15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立即或定时发布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69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具体说明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收集符合人设的热门内容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在日常浏览中识别与账号方向相关、互动表现较好的内容，并结合热度、内容信息量和人设匹配程度进行筛选。内容按账号保存到灵感库。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一键参考改写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选中一条灵感，即可生成新的内容角度、标题和正文。系统会结合来源内容与账号人设重新组织，不只是简单替换词语。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生成完整候选稿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根据内容生成标题、正文、话题、配图数量和封面方案，可生成多张风格一致、画面不同的新图片；也可直接按人设创作原创候选稿。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内容检查与人工审核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检查内容是否符合人设、表达是否自然，并支持修改标题、正文、图片和发布时间。稿件可以只保留，也可审核通过后进入发布流程。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带来的作用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持续沉淀与账号方向一致的灵感，并将选题快速转化为新的文案、视觉内容和可审核稿件。</w:t>
            </w:r>
          </w:p>
        </w:tc>
      </w:tr>
    </w:tbl>
    <w:p>
      <w:pPr>
        <w:spacing w:after="0" w:line="80" w:lineRule="exact"/>
      </w:pPr>
    </w:p>
    <w:p>
      <w:pPr>
        <w:keepLines/>
        <w:spacing w:after="0" w:line="276" w:lineRule="auto"/>
      </w:pPr>
      <w:r>
        <w:rPr>
          <w:rFonts w:ascii="Hiragino Sans GB" w:hAnsi="Hiragino Sans GB" w:eastAsia="Hiragino Sans GB"/>
          <w:color w:val="637189"/>
          <w:sz w:val="17"/>
        </w:rPr>
        <w:t>适用范围：参考改写不会直接使用来源图片，也不会把不确定的信息写成亲身体验。</w:t>
      </w: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05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多账号排期、审核与定时发布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通过排期、审核和结果确认，减少错账号、错时间、重复发布和发布状态不清晰的情况。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69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具体说明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灵活设置排期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按周设置每个账号的活跃时间和自动发内容时间，并为发帖、评论设置每日上限与审批方式。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审核后再发布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稿件可在客户端、管理页面或飞书查看，支持修改、通过或驳回。可按服务方案设置人工审批或自动进入发布流程。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多账号任务有序排队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立即执行、下一合适时间、定时和优先任务都有明确队列。同一账号一次只执行一个发布或评论任务；达到每日上限、账号异常或缺少素材时自动停止。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确认真实发布结果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审核通过只代表允许发布，平台接收定时任务也不等于内容已经公开。页面确认并取得平台链接后，才记录为发布完成。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rPr>
          <w:rFonts w:ascii="Hiragino Sans GB" w:hAnsi="Hiragino Sans GB" w:eastAsia="Hiragino Sans GB"/>
        </w:rPr>
        <w:t>发布状态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4760"/>
        <w:gridCol w:w="2300"/>
      </w:tblGrid>
      <w:tr>
        <w:trPr>
          <w:tblHeader w:val="true"/>
        </w:trPr>
        <w:tc>
          <w:tcPr>
            <w:tcW w:type="dxa" w:w="230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76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代表什么</w:t>
            </w:r>
          </w:p>
        </w:tc>
        <w:tc>
          <w:tcPr>
            <w:tcW w:type="dxa" w:w="2300"/>
            <w:shd w:fill="E8F6F4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是否已经公开</w:t>
            </w:r>
          </w:p>
        </w:tc>
      </w:tr>
      <w:tr>
        <w:trPr/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审核通过</w:t>
            </w:r>
          </w:p>
        </w:tc>
        <w:tc>
          <w:tcPr>
            <w:tcW w:type="dxa" w:w="47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内容已获准进入发布流程</w:t>
            </w:r>
          </w:p>
        </w:tc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否</w:t>
            </w:r>
          </w:p>
        </w:tc>
      </w:tr>
      <w:tr>
        <w:trPr/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平台已接收定时</w:t>
            </w:r>
          </w:p>
        </w:tc>
        <w:tc>
          <w:tcPr>
            <w:tcW w:type="dxa" w:w="47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平台已经创建定时任务</w:t>
            </w:r>
          </w:p>
        </w:tc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尚未公开</w:t>
            </w:r>
          </w:p>
        </w:tc>
      </w:tr>
      <w:tr>
        <w:trPr/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平台已确认发布</w:t>
            </w:r>
          </w:p>
        </w:tc>
        <w:tc>
          <w:tcPr>
            <w:tcW w:type="dxa" w:w="47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页面可以确认内容，并取得平台链接</w:t>
            </w:r>
          </w:p>
        </w:tc>
        <w:tc>
          <w:tcPr>
            <w:tcW w:type="dxa" w:w="23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是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带来的作用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内容可以按账号、时间和审批要求稳定推进，并随时查看每篇内容的当前进度和最终结果。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06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Facebook 群组运营与视频号评论私信处理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不同平台对应不同业务场景，AIDCP 围绕各自的内容形态和运营方式提供能力。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3805"/>
        <w:gridCol w:w="3805"/>
      </w:tblGrid>
      <w:tr>
        <w:trPr>
          <w:tblHeader w:val="true"/>
        </w:trPr>
        <w:tc>
          <w:tcPr>
            <w:tcW w:type="dxa" w:w="175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对比项</w:t>
            </w:r>
          </w:p>
        </w:tc>
        <w:tc>
          <w:tcPr>
            <w:tcW w:type="dxa" w:w="3805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Facebook</w:t>
            </w:r>
          </w:p>
        </w:tc>
        <w:tc>
          <w:tcPr>
            <w:tcW w:type="dxa" w:w="3805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微信视频号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主要方向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多账号和群组运营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评论和私信集中处理；规划接入 AI 回复托管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账号管理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批量创建或导入账号环境，并为每个账号设置独立代理。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把多个账号收到的评论和私信同步到统一收件箱。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内容与表达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设置账号人设和写作语言，让评论和帖子保持统一表达。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当前可生成回复草稿；接入 AI 后，可按账号人设、回复规则和业务口径完成常规回复。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日常运营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浏览动态、阅读全文、点赞，并在指定内容或群组内评论。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按待处理、评论、私信和已回复分类查看，减少遗漏。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群组或消息处理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批量导入群组，按地区、园区、方向分类并分配给账号，记录加入和审批状态。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支持修改、重新生成、忽略、升级或批准发送；接入 AI 后，常规评论和私信可自动回复，敏感、复杂或不确定内容转人工确认。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内容发布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按账号素材库生成候选稿，并发布到个人主页。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当前不提供主动浏览、点赞、关注和内容发布。</w:t>
            </w:r>
          </w:p>
        </w:tc>
      </w:tr>
      <w:tr>
        <w:trPr/>
        <w:tc>
          <w:tcPr>
            <w:tcW w:type="dxa" w:w="175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结果确认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记录评论、加群和发帖的实际结果及受阻原因。</w:t>
            </w:r>
          </w:p>
        </w:tc>
        <w:tc>
          <w:tcPr>
            <w:tcW w:type="dxa" w:w="3805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区分已受理、已发送、平台确认和结果不明，避免重复回复。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EEF5" w:val="clear"/>
            <w:tcBorders>
              <w:top w:val="single" w:sz="4" w:space="0" w:color="E8EEF5"/>
              <w:left w:val="single" w:sz="4" w:space="0" w:color="E8EEF5"/>
              <w:bottom w:val="single" w:sz="4" w:space="0" w:color="E8EEF5"/>
              <w:right w:val="single" w:sz="4" w:space="0" w:color="E8EEF5"/>
              <w:insideH w:val="single" w:sz="4" w:space="0" w:color="E8EEF5"/>
              <w:insideV w:val="single" w:sz="4" w:space="0" w:color="E8EEF5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2E74B5"/>
                <w:sz w:val="18"/>
              </w:rPr>
              <w:t>三个平台的能力定位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小红书侧重内容增长，Facebook 侧重多账号与群组覆盖，视频号侧重评论和私信处理；接入 AI 后可托管常规评论和私信回复。</w:t>
            </w:r>
          </w:p>
        </w:tc>
      </w:tr>
    </w:tbl>
    <w:p>
      <w:pPr>
        <w:spacing w:after="0" w:line="80" w:lineRule="exact"/>
      </w:pPr>
    </w:p>
    <w:p>
      <w:pPr>
        <w:keepLines/>
        <w:spacing w:after="0" w:line="276" w:lineRule="auto"/>
      </w:pPr>
      <w:r>
        <w:rPr>
          <w:rFonts w:ascii="Hiragino Sans GB" w:hAnsi="Hiragino Sans GB" w:eastAsia="Hiragino Sans GB"/>
          <w:color w:val="637189"/>
          <w:sz w:val="17"/>
        </w:rPr>
        <w:t>适用范围：视频号当前支持评论和私信集中处理、回复草稿与人工确认；AI 回复托管将在后续接入后提供。Facebook 的自动评论、自动加群和发帖能力根据账号状态、平台规则与服务方案开通。</w:t>
      </w:r>
    </w:p>
    <w:p>
      <w:r>
        <w:br w:type="page"/>
      </w:r>
    </w:p>
    <w:p>
      <w:pPr>
        <w:keepNext/>
        <w:keepLines/>
        <w:pageBreakBefore w:val="0"/>
        <w:spacing w:after="80"/>
      </w:pPr>
      <w:r>
        <w:rPr>
          <w:rFonts w:ascii="Hiragino Sans GB" w:hAnsi="Hiragino Sans GB" w:eastAsia="Hiragino Sans GB"/>
          <w:b/>
          <w:color w:val="168D86"/>
          <w:sz w:val="18"/>
        </w:rPr>
        <w:t>07</w:t>
      </w:r>
    </w:p>
    <w:p>
      <w:pPr>
        <w:pStyle w:val="Heading1"/>
        <w:keepNext/>
        <w:keepLines/>
      </w:pPr>
      <w:r>
        <w:rPr>
          <w:rFonts w:ascii="Hiragino Sans GB" w:hAnsi="Hiragino Sans GB" w:eastAsia="Hiragino Sans GB"/>
        </w:rPr>
        <w:t>全流程协作与运营保障</w:t>
      </w:r>
    </w:p>
    <w:p>
      <w:pPr>
        <w:pStyle w:val="Lead"/>
        <w:keepLines/>
      </w:pPr>
      <w:r>
        <w:rPr>
          <w:rFonts w:ascii="Hiragino Sans GB" w:hAnsi="Hiragino Sans GB" w:eastAsia="Hiragino Sans GB"/>
        </w:rPr>
        <w:t>统一查看运营状态、审批内容、接收提醒，并在账号异常时及时处理。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6960"/>
            <w:shd w:fill="E8EEF5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具体说明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统一查看运营情况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查看在线账号、今日浏览和互动、发布数量以及最近活动，并按账号查看内容队列、已发布历史和平台链接。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飞书协作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稿件审批、任务结果、账号异常和运营提醒可发送到飞书；从飞书提交的任务，结果会回到原群聊或私聊。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异常提醒和人工处理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验证码、登录失效、账号受限、页面变化和网络异常会及时提示。需要人工处理时，可打开真实页面完成处理后再恢复运行。</w:t>
            </w:r>
          </w:p>
        </w:tc>
      </w:tr>
      <w:tr>
        <w:trPr/>
        <w:tc>
          <w:tcPr>
            <w:tcW w:type="dxa" w:w="24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202938"/>
                <w:sz w:val="18"/>
              </w:rPr>
              <w:t>权限和成本管理</w:t>
            </w:r>
          </w:p>
        </w:tc>
        <w:tc>
          <w:tcPr>
            <w:tcW w:type="dxa" w:w="696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按团队分配账号范围，停用后立即收回访问权限；可按账号和用途查看 AI 使用量及估算费用，并调整操作上限和运行节奏。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rPr>
          <w:rFonts w:ascii="Hiragino Sans GB" w:hAnsi="Hiragino Sans GB" w:eastAsia="Hiragino Sans GB"/>
        </w:rPr>
        <w:t>全过程状态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980"/>
        <w:gridCol w:w="1700"/>
        <w:gridCol w:w="2980"/>
      </w:tblGrid>
      <w:tr>
        <w:trPr>
          <w:tblHeader w:val="true"/>
        </w:trPr>
        <w:tc>
          <w:tcPr>
            <w:tcW w:type="dxa" w:w="1700"/>
            <w:shd w:fill="F4F6F9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980"/>
            <w:shd w:fill="F4F6F9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说明</w:t>
            </w:r>
          </w:p>
        </w:tc>
        <w:tc>
          <w:tcPr>
            <w:tcW w:type="dxa" w:w="1700"/>
            <w:shd w:fill="F4F6F9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980"/>
            <w:shd w:fill="F4F6F9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已受理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系统收到请求，进入处理</w:t>
            </w:r>
          </w:p>
        </w:tc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已排队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等待合适时间，按顺序执行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执行中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正在真实页面操作并记录进度</w:t>
            </w:r>
          </w:p>
        </w:tc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待审批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等待人工确认，确认后继续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已发送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动作已发出，继续等待平台结果</w:t>
            </w:r>
          </w:p>
        </w:tc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平台已确认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有明确页面结果，记录为完成</w:t>
            </w:r>
          </w:p>
        </w:tc>
      </w:tr>
      <w:tr>
        <w:trPr/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结果不明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无法确认，不自动重复</w:t>
            </w:r>
          </w:p>
        </w:tc>
        <w:tc>
          <w:tcPr>
            <w:tcW w:type="dxa" w:w="170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失败或受阻</w:t>
            </w:r>
          </w:p>
        </w:tc>
        <w:tc>
          <w:tcPr>
            <w:tcW w:type="dxa" w:w="2980"/>
            <w:shd w:fill="FFFFFF" w:val="clear"/>
            <w:tcBorders>
              <w:top w:val="single" w:sz="8" w:space="0" w:color="DCE4EA"/>
              <w:left w:val="single" w:sz="8" w:space="0" w:color="DCE4EA"/>
              <w:bottom w:val="single" w:sz="8" w:space="0" w:color="DCE4EA"/>
              <w:right w:val="single" w:sz="8" w:space="0" w:color="DCE4EA"/>
              <w:insideH w:val="single" w:sz="8" w:space="0" w:color="DCE4EA"/>
              <w:insideV w:val="single" w:sz="8" w:space="0" w:color="DCE4EA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202938"/>
                <w:sz w:val="18"/>
              </w:rPr>
              <w:t>未完成并有原因，提示人工处理</w:t>
            </w:r>
          </w:p>
        </w:tc>
      </w:tr>
    </w:tbl>
    <w:p>
      <w:pPr>
        <w:spacing w:after="0" w:line="80" w:lineRule="exac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8F6F4" w:val="clear"/>
            <w:tcBorders>
              <w:top w:val="single" w:sz="4" w:space="0" w:color="E8F6F4"/>
              <w:left w:val="single" w:sz="4" w:space="0" w:color="E8F6F4"/>
              <w:bottom w:val="single" w:sz="4" w:space="0" w:color="E8F6F4"/>
              <w:right w:val="single" w:sz="4" w:space="0" w:color="E8F6F4"/>
              <w:insideH w:val="single" w:sz="4" w:space="0" w:color="E8F6F4"/>
              <w:insideV w:val="single" w:sz="4" w:space="0" w:color="E8F6F4"/>
            </w:tcBorders>
            <w:vAlign w:val="center"/>
            <w:tcMar>
              <w:top w:w="150" w:type="dxa"/>
              <w:bottom w:w="150" w:type="dxa"/>
              <w:start w:w="120" w:type="dxa"/>
              <w:end w:w="120" w:type="dxa"/>
            </w:tcMar>
          </w:tcPr>
          <w:p>
            <w:pPr>
              <w:spacing w:before="0" w:after="80" w:line="240" w:lineRule="auto"/>
            </w:pPr>
            <w:r/>
            <w:r>
              <w:rPr>
                <w:rFonts w:ascii="Hiragino Sans GB" w:hAnsi="Hiragino Sans GB" w:eastAsia="Hiragino Sans GB"/>
                <w:b/>
                <w:color w:val="168D86"/>
                <w:sz w:val="18"/>
              </w:rPr>
              <w:t>服务原则</w:t>
            </w:r>
          </w:p>
          <w:p>
            <w:pPr>
              <w:spacing w:after="0" w:line="283" w:lineRule="auto"/>
            </w:pPr>
            <w:r>
              <w:rPr>
                <w:rFonts w:ascii="Hiragino Sans GB" w:hAnsi="Hiragino Sans GB" w:eastAsia="Hiragino Sans GB"/>
                <w:b/>
                <w:color w:val="202938"/>
                <w:sz w:val="20"/>
              </w:rPr>
              <w:t>关键步骤可确认，执行过程可查看，异常情况可处理；只有平台明确确认的结果，才记录为成功。</w:t>
            </w:r>
          </w:p>
        </w:tc>
      </w:tr>
    </w:tbl>
    <w:p>
      <w:pPr>
        <w:spacing w:after="0" w:line="80" w:lineRule="exact"/>
      </w:pPr>
    </w:p>
    <w:p>
      <w:pPr>
        <w:keepLines/>
        <w:spacing w:after="0" w:line="276" w:lineRule="auto"/>
      </w:pPr>
      <w:r>
        <w:rPr>
          <w:rFonts w:ascii="Hiragino Sans GB" w:hAnsi="Hiragino Sans GB" w:eastAsia="Hiragino Sans GB"/>
          <w:color w:val="637189"/>
          <w:sz w:val="17"/>
        </w:rPr>
        <w:t>适用范围：各平台能力会随平台规则、账号状态与服务方案有所差异，以实际开通范围为准。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iragino Sans GB" w:hAnsi="Hiragino Sans GB" w:eastAsia="Hiragino Sans GB"/>
        <w:color w:val="637189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Hiragino Sans GB" w:hAnsi="Hiragino Sans GB" w:eastAsia="Hiragino Sans GB"/>
        <w:color w:val="63718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color w:val="168D86"/>
        <w:sz w:val="17"/>
      </w:rPr>
      <w:t>AIDCP</w:t>
    </w:r>
    <w:r>
      <w:rPr>
        <w:rFonts w:ascii="Hiragino Sans GB" w:hAnsi="Hiragino Sans GB" w:eastAsia="Hiragino Sans GB"/>
        <w:color w:val="637189"/>
        <w:sz w:val="17"/>
      </w:rPr>
      <w:t xml:space="preserve">  |  多平台智能运营能力说明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b w:val="0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0" w:after="160" w:line="240" w:lineRule="auto"/>
    </w:pPr>
    <w:rPr>
      <w:rFonts w:ascii="Hiragino Sans GB" w:hAnsi="Hiragino Sans GB" w:eastAsia="Hiragino Sans GB"/>
      <w:b/>
      <w:color w:val="142139"/>
      <w:sz w:val="58"/>
    </w:rPr>
  </w:style>
  <w:style w:type="paragraph" w:customStyle="1" w:styleId="DocSubtitle">
    <w:name w:val="DocSubtitle"/>
    <w:pPr>
      <w:spacing w:before="0" w:after="400" w:line="288" w:lineRule="auto"/>
    </w:pPr>
    <w:rPr>
      <w:rFonts w:ascii="Hiragino Sans GB" w:hAnsi="Hiragino Sans GB" w:eastAsia="Hiragino Sans GB"/>
      <w:b w:val="0"/>
      <w:color w:val="637189"/>
      <w:sz w:val="27"/>
    </w:rPr>
  </w:style>
  <w:style w:type="paragraph" w:customStyle="1" w:styleId="Lead">
    <w:name w:val="Lead"/>
    <w:pPr>
      <w:spacing w:before="0" w:after="280" w:line="300" w:lineRule="auto"/>
    </w:pPr>
    <w:rPr>
      <w:rFonts w:ascii="Hiragino Sans GB" w:hAnsi="Hiragino Sans GB" w:eastAsia="Hiragino Sans GB"/>
      <w:b w:val="0"/>
      <w:color w:val="63718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AIDCP 多平台智能运营能力说明</dc:title>
  <dc:subject>AIDCP 多账号、内容、发布与互动运营能力</dc:subject>
  <dc:creator>AIDCP</dc:creator>
  <cp:keywords>AIDCP, 多账号运营, 小红书, Facebook, 视频号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