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E6C3" w14:textId="77777777" w:rsidR="002E6ECF" w:rsidRPr="00ED6590" w:rsidRDefault="002E6ECF" w:rsidP="00636868">
      <w:pPr>
        <w:jc w:val="center"/>
        <w:rPr>
          <w:sz w:val="40"/>
        </w:rPr>
      </w:pPr>
      <w:r w:rsidRPr="00ED6590">
        <w:rPr>
          <w:sz w:val="40"/>
        </w:rPr>
        <w:t>Vysoké učení technické v Brně</w:t>
      </w:r>
    </w:p>
    <w:p w14:paraId="2B489A63" w14:textId="77777777" w:rsidR="002E6ECF" w:rsidRPr="00ED6590" w:rsidRDefault="002E6ECF">
      <w:pPr>
        <w:spacing w:line="360" w:lineRule="auto"/>
        <w:jc w:val="center"/>
        <w:rPr>
          <w:sz w:val="40"/>
        </w:rPr>
      </w:pPr>
      <w:r w:rsidRPr="00ED6590">
        <w:rPr>
          <w:sz w:val="40"/>
        </w:rPr>
        <w:t xml:space="preserve">Fakulta </w:t>
      </w:r>
      <w:r w:rsidR="0082033D" w:rsidRPr="00ED6590">
        <w:rPr>
          <w:sz w:val="40"/>
        </w:rPr>
        <w:t xml:space="preserve">informačních </w:t>
      </w:r>
      <w:r w:rsidRPr="00ED6590">
        <w:rPr>
          <w:sz w:val="40"/>
        </w:rPr>
        <w:t>technologií</w:t>
      </w:r>
    </w:p>
    <w:p w14:paraId="1B578FC0" w14:textId="77777777" w:rsidR="002E6ECF" w:rsidRPr="00ED6590" w:rsidRDefault="002E6ECF">
      <w:pPr>
        <w:spacing w:line="360" w:lineRule="auto"/>
        <w:jc w:val="center"/>
        <w:rPr>
          <w:sz w:val="40"/>
        </w:rPr>
      </w:pPr>
    </w:p>
    <w:p w14:paraId="09326CAE" w14:textId="5F759027" w:rsidR="002E6ECF" w:rsidRPr="00ED6590" w:rsidRDefault="002E6ECF">
      <w:pPr>
        <w:spacing w:line="360" w:lineRule="auto"/>
        <w:jc w:val="center"/>
        <w:rPr>
          <w:sz w:val="40"/>
        </w:rPr>
      </w:pPr>
    </w:p>
    <w:p w14:paraId="3C28029B" w14:textId="77777777" w:rsidR="002E2C3C" w:rsidRPr="00ED6590" w:rsidRDefault="002E2C3C">
      <w:pPr>
        <w:spacing w:line="360" w:lineRule="auto"/>
        <w:jc w:val="center"/>
        <w:rPr>
          <w:sz w:val="40"/>
        </w:rPr>
      </w:pPr>
    </w:p>
    <w:p w14:paraId="7F5013C2" w14:textId="78FBC62D" w:rsidR="005437AD" w:rsidRPr="00ED6590" w:rsidRDefault="005437AD">
      <w:pPr>
        <w:spacing w:line="360" w:lineRule="auto"/>
        <w:jc w:val="center"/>
        <w:rPr>
          <w:sz w:val="40"/>
        </w:rPr>
      </w:pPr>
    </w:p>
    <w:p w14:paraId="6DEEA355" w14:textId="77777777" w:rsidR="002E2C3C" w:rsidRPr="00ED6590" w:rsidRDefault="002E2C3C">
      <w:pPr>
        <w:spacing w:line="360" w:lineRule="auto"/>
        <w:jc w:val="center"/>
        <w:rPr>
          <w:sz w:val="40"/>
        </w:rPr>
      </w:pPr>
    </w:p>
    <w:p w14:paraId="6B460365" w14:textId="70F81833" w:rsidR="002E2C3C" w:rsidRPr="00ED6590" w:rsidRDefault="00082204" w:rsidP="002E2C3C">
      <w:pPr>
        <w:spacing w:line="360" w:lineRule="auto"/>
        <w:jc w:val="center"/>
        <w:rPr>
          <w:smallCaps/>
          <w:sz w:val="40"/>
        </w:rPr>
      </w:pPr>
      <w:r w:rsidRPr="00082204">
        <w:rPr>
          <w:smallCaps/>
          <w:sz w:val="40"/>
        </w:rPr>
        <w:t>Síťové aplikace a správa sítí</w:t>
      </w:r>
    </w:p>
    <w:p w14:paraId="2811EC23" w14:textId="114B2310" w:rsidR="002E6ECF" w:rsidRPr="00ED6590" w:rsidRDefault="00A247BC">
      <w:pPr>
        <w:spacing w:line="360" w:lineRule="auto"/>
        <w:jc w:val="center"/>
        <w:rPr>
          <w:sz w:val="40"/>
        </w:rPr>
      </w:pPr>
      <w:r w:rsidRPr="00ED6590">
        <w:rPr>
          <w:sz w:val="40"/>
        </w:rPr>
        <w:t>202</w:t>
      </w:r>
      <w:r w:rsidR="00082204">
        <w:rPr>
          <w:sz w:val="40"/>
        </w:rPr>
        <w:t>1</w:t>
      </w:r>
      <w:r w:rsidRPr="00ED6590">
        <w:rPr>
          <w:sz w:val="40"/>
        </w:rPr>
        <w:t>/202</w:t>
      </w:r>
      <w:r w:rsidR="00082204">
        <w:rPr>
          <w:sz w:val="40"/>
        </w:rPr>
        <w:t>2</w:t>
      </w:r>
    </w:p>
    <w:p w14:paraId="529CBA07" w14:textId="6C17BACA" w:rsidR="002E6ECF" w:rsidRPr="00ED6590" w:rsidRDefault="002E6ECF">
      <w:pPr>
        <w:spacing w:line="360" w:lineRule="auto"/>
        <w:jc w:val="center"/>
        <w:rPr>
          <w:sz w:val="40"/>
        </w:rPr>
      </w:pPr>
    </w:p>
    <w:p w14:paraId="6565B976" w14:textId="4D02F582" w:rsidR="00A247BC" w:rsidRPr="00ED6590" w:rsidRDefault="00A247BC">
      <w:pPr>
        <w:spacing w:line="360" w:lineRule="auto"/>
        <w:jc w:val="center"/>
        <w:rPr>
          <w:sz w:val="40"/>
        </w:rPr>
      </w:pPr>
    </w:p>
    <w:p w14:paraId="05915758" w14:textId="77777777" w:rsidR="002E2C3C" w:rsidRPr="00ED6590" w:rsidRDefault="002E2C3C">
      <w:pPr>
        <w:spacing w:line="360" w:lineRule="auto"/>
        <w:jc w:val="center"/>
        <w:rPr>
          <w:sz w:val="40"/>
        </w:rPr>
      </w:pPr>
    </w:p>
    <w:p w14:paraId="5A77D912" w14:textId="41D6FF3B" w:rsidR="002E6ECF" w:rsidRPr="00ED6590" w:rsidRDefault="0082033D" w:rsidP="00636868">
      <w:pPr>
        <w:jc w:val="center"/>
        <w:rPr>
          <w:sz w:val="40"/>
        </w:rPr>
      </w:pPr>
      <w:r w:rsidRPr="00ED6590">
        <w:rPr>
          <w:sz w:val="40"/>
        </w:rPr>
        <w:t xml:space="preserve">Projekt </w:t>
      </w:r>
      <w:r w:rsidR="002E2C3C" w:rsidRPr="00ED6590">
        <w:rPr>
          <w:sz w:val="40"/>
        </w:rPr>
        <w:t>I</w:t>
      </w:r>
      <w:r w:rsidR="00082204">
        <w:rPr>
          <w:sz w:val="40"/>
        </w:rPr>
        <w:t>SA</w:t>
      </w:r>
    </w:p>
    <w:p w14:paraId="6DC07F95" w14:textId="3140B31B" w:rsidR="002E6ECF" w:rsidRPr="00ED6590" w:rsidRDefault="00082204" w:rsidP="00082204">
      <w:pPr>
        <w:spacing w:line="360" w:lineRule="auto"/>
        <w:jc w:val="center"/>
        <w:rPr>
          <w:b/>
          <w:bCs/>
          <w:sz w:val="40"/>
        </w:rPr>
      </w:pPr>
      <w:r w:rsidRPr="00082204">
        <w:rPr>
          <w:b/>
          <w:bCs/>
          <w:sz w:val="40"/>
        </w:rPr>
        <w:t>Varianta termínu – TFTP Klient</w:t>
      </w:r>
    </w:p>
    <w:p w14:paraId="419D1AEE" w14:textId="6FE2E2E9" w:rsidR="002E6ECF" w:rsidRPr="00ED6590" w:rsidRDefault="002E6ECF" w:rsidP="00AC2CDF"/>
    <w:p w14:paraId="6E27E573" w14:textId="65F8D75D" w:rsidR="00F7180C" w:rsidRPr="00ED6590" w:rsidRDefault="00F7180C" w:rsidP="00AC2CDF"/>
    <w:p w14:paraId="166AE993" w14:textId="1E8F5744" w:rsidR="002E2C3C" w:rsidRPr="00ED6590" w:rsidRDefault="002E2C3C" w:rsidP="00AC2CDF"/>
    <w:p w14:paraId="7C137B47" w14:textId="126D601C" w:rsidR="002E2C3C" w:rsidRPr="00ED6590" w:rsidRDefault="002E2C3C" w:rsidP="00AC2CDF"/>
    <w:p w14:paraId="150BB9D9" w14:textId="69007A71" w:rsidR="002E2C3C" w:rsidRPr="00ED6590" w:rsidRDefault="002E2C3C" w:rsidP="00AC2CDF"/>
    <w:p w14:paraId="5FD7B55C" w14:textId="71558560" w:rsidR="002E2C3C" w:rsidRPr="00ED6590" w:rsidRDefault="002E2C3C" w:rsidP="00AC2CDF"/>
    <w:p w14:paraId="78EAB6D9" w14:textId="5C1C3647" w:rsidR="002E2C3C" w:rsidRPr="00ED6590" w:rsidRDefault="002E2C3C" w:rsidP="00AC2CDF"/>
    <w:p w14:paraId="415B3209" w14:textId="629B60DA" w:rsidR="00636868" w:rsidRPr="00ED6590" w:rsidRDefault="00636868" w:rsidP="00AC2CDF"/>
    <w:p w14:paraId="7DDF8660" w14:textId="03330265" w:rsidR="00636868" w:rsidRPr="00ED6590" w:rsidRDefault="00636868" w:rsidP="00AC2CDF"/>
    <w:p w14:paraId="36D94A25" w14:textId="48FE3034" w:rsidR="00636868" w:rsidRPr="00ED6590" w:rsidRDefault="00636868" w:rsidP="00AC2CDF"/>
    <w:p w14:paraId="135C618F" w14:textId="77777777" w:rsidR="00636868" w:rsidRPr="00ED6590" w:rsidRDefault="00636868" w:rsidP="00AC2CDF"/>
    <w:p w14:paraId="3C7C4024" w14:textId="76D4B88D" w:rsidR="00F7180C" w:rsidRPr="00ED6590" w:rsidRDefault="00F7180C" w:rsidP="00AC2CDF"/>
    <w:p w14:paraId="0C8D369A" w14:textId="77777777" w:rsidR="00636868" w:rsidRPr="00ED6590" w:rsidRDefault="00636868" w:rsidP="00AC2CDF"/>
    <w:p w14:paraId="647200CB" w14:textId="20746892" w:rsidR="00F7180C" w:rsidRPr="00ED6590" w:rsidRDefault="0034256D" w:rsidP="00636868">
      <w:pPr>
        <w:rPr>
          <w:sz w:val="28"/>
          <w:szCs w:val="28"/>
        </w:rPr>
      </w:pPr>
      <w:r w:rsidRPr="00ED6590">
        <w:rPr>
          <w:sz w:val="28"/>
          <w:szCs w:val="28"/>
        </w:rPr>
        <w:t xml:space="preserve">Tomáš Milostný </w:t>
      </w:r>
      <w:r w:rsidR="002E6ECF" w:rsidRPr="00ED6590">
        <w:rPr>
          <w:sz w:val="28"/>
          <w:szCs w:val="28"/>
        </w:rPr>
        <w:t>(x</w:t>
      </w:r>
      <w:r w:rsidRPr="00ED6590">
        <w:rPr>
          <w:sz w:val="28"/>
          <w:szCs w:val="28"/>
        </w:rPr>
        <w:t>milos</w:t>
      </w:r>
      <w:r w:rsidR="002E6ECF" w:rsidRPr="00ED6590">
        <w:rPr>
          <w:sz w:val="28"/>
          <w:szCs w:val="28"/>
        </w:rPr>
        <w:t>0</w:t>
      </w:r>
      <w:r w:rsidRPr="00ED6590">
        <w:rPr>
          <w:sz w:val="28"/>
          <w:szCs w:val="28"/>
        </w:rPr>
        <w:t>2</w:t>
      </w:r>
      <w:r w:rsidR="002E6ECF" w:rsidRPr="00ED6590">
        <w:rPr>
          <w:sz w:val="28"/>
          <w:szCs w:val="28"/>
        </w:rPr>
        <w:t>)</w:t>
      </w:r>
    </w:p>
    <w:p w14:paraId="2CDC6C7A" w14:textId="77777777" w:rsidR="00636868" w:rsidRPr="00ED6590" w:rsidRDefault="00636868" w:rsidP="00636868"/>
    <w:p w14:paraId="0A3839E5" w14:textId="01CF2E67" w:rsidR="00006248" w:rsidRPr="00ED6590" w:rsidRDefault="0046197C" w:rsidP="00ED6590">
      <w:pPr>
        <w:pStyle w:val="Heading1"/>
        <w:rPr>
          <w:lang w:val="cs-CZ"/>
        </w:rPr>
      </w:pPr>
      <w:bookmarkStart w:id="0" w:name="_Toc87898348"/>
      <w:r w:rsidRPr="00ED6590">
        <w:rPr>
          <w:lang w:val="cs-CZ"/>
        </w:rPr>
        <w:lastRenderedPageBreak/>
        <w:t>Obsah</w:t>
      </w:r>
      <w:bookmarkEnd w:id="0"/>
    </w:p>
    <w:p w14:paraId="0433D767" w14:textId="77777777" w:rsidR="00ED6590" w:rsidRPr="00ED6590" w:rsidRDefault="00ED6590" w:rsidP="00ED6590"/>
    <w:sdt>
      <w:sdtPr>
        <w:id w:val="1976097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03A8F" w14:textId="3D17D887" w:rsidR="00B04A87" w:rsidRDefault="0046197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 w:rsidRPr="00ED6590">
            <w:fldChar w:fldCharType="begin"/>
          </w:r>
          <w:r w:rsidRPr="00ED6590">
            <w:instrText xml:space="preserve"> TOC \o "1-3" \h \z \u </w:instrText>
          </w:r>
          <w:r w:rsidRPr="00ED6590">
            <w:fldChar w:fldCharType="separate"/>
          </w:r>
          <w:hyperlink w:anchor="_Toc87898348" w:history="1">
            <w:r w:rsidR="00B04A87" w:rsidRPr="007F42C7">
              <w:rPr>
                <w:rStyle w:val="Hyperlink"/>
                <w:noProof/>
              </w:rPr>
              <w:t>Obsah</w:t>
            </w:r>
            <w:r w:rsidR="00B04A87">
              <w:rPr>
                <w:noProof/>
                <w:webHidden/>
              </w:rPr>
              <w:tab/>
            </w:r>
            <w:r w:rsidR="00B04A87">
              <w:rPr>
                <w:noProof/>
                <w:webHidden/>
              </w:rPr>
              <w:fldChar w:fldCharType="begin"/>
            </w:r>
            <w:r w:rsidR="00B04A87">
              <w:rPr>
                <w:noProof/>
                <w:webHidden/>
              </w:rPr>
              <w:instrText xml:space="preserve"> PAGEREF _Toc87898348 \h </w:instrText>
            </w:r>
            <w:r w:rsidR="00B04A87">
              <w:rPr>
                <w:noProof/>
                <w:webHidden/>
              </w:rPr>
            </w:r>
            <w:r w:rsidR="00B04A87">
              <w:rPr>
                <w:noProof/>
                <w:webHidden/>
              </w:rPr>
              <w:fldChar w:fldCharType="separate"/>
            </w:r>
            <w:r w:rsidR="00B04A87">
              <w:rPr>
                <w:noProof/>
                <w:webHidden/>
              </w:rPr>
              <w:t>2</w:t>
            </w:r>
            <w:r w:rsidR="00B04A87">
              <w:rPr>
                <w:noProof/>
                <w:webHidden/>
              </w:rPr>
              <w:fldChar w:fldCharType="end"/>
            </w:r>
          </w:hyperlink>
        </w:p>
        <w:p w14:paraId="42135FDC" w14:textId="08CB2D04" w:rsidR="00B04A87" w:rsidRDefault="00B04A8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898349" w:history="1">
            <w:r w:rsidRPr="007F42C7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4193" w14:textId="4D714821" w:rsidR="00B04A87" w:rsidRDefault="00B04A8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898350" w:history="1">
            <w:r w:rsidRPr="007F42C7">
              <w:rPr>
                <w:rStyle w:val="Hyperlink"/>
                <w:noProof/>
              </w:rPr>
              <w:t>Popis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AF9E" w14:textId="1D75D8A2" w:rsidR="00B04A87" w:rsidRDefault="00B04A8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898351" w:history="1">
            <w:r w:rsidRPr="007F42C7">
              <w:rPr>
                <w:rStyle w:val="Hyperlink"/>
                <w:noProof/>
              </w:rPr>
              <w:t>ArgumentParser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2D1F" w14:textId="2907E370" w:rsidR="00B04A87" w:rsidRDefault="00B04A8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898352" w:history="1">
            <w:r w:rsidRPr="007F42C7">
              <w:rPr>
                <w:rStyle w:val="Hyperlink"/>
                <w:noProof/>
              </w:rPr>
              <w:t>Tftp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C73F" w14:textId="03EC4E49" w:rsidR="00B04A87" w:rsidRDefault="00B04A8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898353" w:history="1">
            <w:r w:rsidRPr="007F42C7">
              <w:rPr>
                <w:rStyle w:val="Hyperlink"/>
                <w:noProof/>
              </w:rPr>
              <w:t>StampMessagePrinter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6C37" w14:textId="30B4C012" w:rsidR="00B04A87" w:rsidRDefault="00B04A8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898354" w:history="1">
            <w:r w:rsidRPr="007F42C7">
              <w:rPr>
                <w:rStyle w:val="Hyperlink"/>
                <w:noProof/>
              </w:rPr>
              <w:t>Seznam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E795" w14:textId="6EC659E3" w:rsidR="0046197C" w:rsidRPr="00ED6590" w:rsidRDefault="0046197C">
          <w:r w:rsidRPr="00ED6590">
            <w:rPr>
              <w:b/>
              <w:bCs/>
              <w:noProof/>
            </w:rPr>
            <w:fldChar w:fldCharType="end"/>
          </w:r>
        </w:p>
      </w:sdtContent>
    </w:sdt>
    <w:p w14:paraId="1827B8E9" w14:textId="3669681B" w:rsidR="00636868" w:rsidRPr="00ED6590" w:rsidRDefault="00636868">
      <w:pPr>
        <w:suppressAutoHyphens w:val="0"/>
      </w:pPr>
      <w:r w:rsidRPr="00ED6590">
        <w:br w:type="page"/>
      </w:r>
    </w:p>
    <w:p w14:paraId="04CB9EAA" w14:textId="72337E75" w:rsidR="0046197C" w:rsidRPr="00ED6590" w:rsidRDefault="00636868" w:rsidP="00ED6590">
      <w:pPr>
        <w:pStyle w:val="Heading1"/>
        <w:rPr>
          <w:lang w:val="cs-CZ"/>
        </w:rPr>
      </w:pPr>
      <w:bookmarkStart w:id="1" w:name="_Toc87898349"/>
      <w:r w:rsidRPr="00ED6590">
        <w:rPr>
          <w:lang w:val="cs-CZ"/>
        </w:rPr>
        <w:lastRenderedPageBreak/>
        <w:t>Úvod</w:t>
      </w:r>
      <w:bookmarkEnd w:id="1"/>
    </w:p>
    <w:p w14:paraId="4AEFE6B9" w14:textId="77777777" w:rsidR="00ED6590" w:rsidRPr="00ED6590" w:rsidRDefault="00ED6590" w:rsidP="00636868"/>
    <w:p w14:paraId="479FBA32" w14:textId="6C376BB8" w:rsidR="0055344F" w:rsidRPr="00ED6590" w:rsidRDefault="0082752A" w:rsidP="00BC34DC">
      <w:r w:rsidRPr="00ED6590">
        <w:t xml:space="preserve">Projekt je implementovaný v jazyce </w:t>
      </w:r>
      <w:r w:rsidRPr="00ED6590">
        <w:rPr>
          <w:b/>
          <w:bCs/>
        </w:rPr>
        <w:t>C</w:t>
      </w:r>
      <w:r w:rsidR="00E238AE">
        <w:rPr>
          <w:b/>
          <w:bCs/>
        </w:rPr>
        <w:t>++</w:t>
      </w:r>
      <w:r w:rsidRPr="00ED6590">
        <w:t>.</w:t>
      </w:r>
      <w:r w:rsidR="00E238AE">
        <w:t xml:space="preserve"> Výsledný p</w:t>
      </w:r>
      <w:r w:rsidRPr="00ED6590">
        <w:t xml:space="preserve">rogram </w:t>
      </w:r>
      <w:r w:rsidR="00E238AE">
        <w:t xml:space="preserve">je implementací </w:t>
      </w:r>
      <w:r w:rsidR="008D5D7A">
        <w:t>klienta</w:t>
      </w:r>
      <w:r w:rsidR="00E238AE">
        <w:t xml:space="preserve"> </w:t>
      </w:r>
      <w:r w:rsidR="008D5D7A">
        <w:t>protokolu TFTP</w:t>
      </w:r>
      <w:r w:rsidR="00FF69F0">
        <w:t>[1]</w:t>
      </w:r>
      <w:r w:rsidR="008D5D7A">
        <w:t xml:space="preserve"> </w:t>
      </w:r>
      <w:r w:rsidR="00E238AE">
        <w:t xml:space="preserve">s podporou </w:t>
      </w:r>
      <w:proofErr w:type="spellStart"/>
      <w:r w:rsidR="00E238AE">
        <w:rPr>
          <w:i/>
          <w:iCs/>
        </w:rPr>
        <w:t>Option</w:t>
      </w:r>
      <w:proofErr w:type="spellEnd"/>
      <w:r w:rsidR="00E238AE">
        <w:rPr>
          <w:i/>
          <w:iCs/>
        </w:rPr>
        <w:t xml:space="preserve"> </w:t>
      </w:r>
      <w:proofErr w:type="spellStart"/>
      <w:r w:rsidR="00E238AE">
        <w:rPr>
          <w:i/>
          <w:iCs/>
        </w:rPr>
        <w:t>Extension</w:t>
      </w:r>
      <w:proofErr w:type="spellEnd"/>
      <w:r w:rsidR="00E238AE">
        <w:t>[</w:t>
      </w:r>
      <w:r w:rsidR="00FF69F0">
        <w:t>2</w:t>
      </w:r>
      <w:r w:rsidR="00E238AE">
        <w:t>]</w:t>
      </w:r>
      <w:r w:rsidR="008D5D7A">
        <w:t xml:space="preserve">. </w:t>
      </w:r>
      <w:r w:rsidRPr="00ED6590">
        <w:t>Oproti původnímu zadání nebyla implementována</w:t>
      </w:r>
      <w:r w:rsidR="00E238AE">
        <w:t xml:space="preserve"> </w:t>
      </w:r>
      <w:proofErr w:type="spellStart"/>
      <w:r w:rsidR="00E238AE">
        <w:t>multicastová</w:t>
      </w:r>
      <w:proofErr w:type="spellEnd"/>
      <w:r w:rsidR="00E238AE">
        <w:t xml:space="preserve"> komunikace</w:t>
      </w:r>
      <w:r w:rsidRPr="00ED6590">
        <w:t>.</w:t>
      </w:r>
    </w:p>
    <w:p w14:paraId="7CE2F00D" w14:textId="77777777" w:rsidR="0055344F" w:rsidRPr="00ED6590" w:rsidRDefault="0055344F">
      <w:pPr>
        <w:suppressAutoHyphens w:val="0"/>
      </w:pPr>
      <w:r w:rsidRPr="00ED6590">
        <w:br w:type="page"/>
      </w:r>
    </w:p>
    <w:p w14:paraId="0D3CDDF3" w14:textId="2E7B79E2" w:rsidR="0082752A" w:rsidRPr="00ED6590" w:rsidRDefault="0055344F" w:rsidP="00ED6590">
      <w:pPr>
        <w:pStyle w:val="Heading1"/>
        <w:rPr>
          <w:lang w:val="cs-CZ"/>
        </w:rPr>
      </w:pPr>
      <w:bookmarkStart w:id="2" w:name="_Toc87898350"/>
      <w:r w:rsidRPr="00ED6590">
        <w:rPr>
          <w:lang w:val="cs-CZ"/>
        </w:rPr>
        <w:lastRenderedPageBreak/>
        <w:t>Popis implementace</w:t>
      </w:r>
      <w:bookmarkEnd w:id="2"/>
    </w:p>
    <w:p w14:paraId="0B0FA350" w14:textId="77777777" w:rsidR="00ED6590" w:rsidRPr="00ED6590" w:rsidRDefault="00ED6590" w:rsidP="00364179">
      <w:pPr>
        <w:ind w:firstLine="360"/>
      </w:pPr>
    </w:p>
    <w:p w14:paraId="06974D47" w14:textId="7563E7FF" w:rsidR="003B1BB2" w:rsidRDefault="00566CE0" w:rsidP="00BC34DC">
      <w:r w:rsidRPr="00ED6590">
        <w:t xml:space="preserve">Jádrem projektu je hlavní program v souboru </w:t>
      </w:r>
      <w:r w:rsidR="00BC34DC">
        <w:rPr>
          <w:rFonts w:ascii="Cascadia Code" w:hAnsi="Cascadia Code"/>
        </w:rPr>
        <w:t>mytftpclient.cpp</w:t>
      </w:r>
      <w:r w:rsidRPr="00ED6590">
        <w:t xml:space="preserve">. Program začíná </w:t>
      </w:r>
      <w:r w:rsidR="008D5D7A">
        <w:t>spuštěním vlastní</w:t>
      </w:r>
      <w:r w:rsidRPr="00ED6590">
        <w:t xml:space="preserve"> příkazové řádky</w:t>
      </w:r>
      <w:r w:rsidR="008D5D7A">
        <w:t>, která uživateli umožňuje zadat příkazy programu na standardním vstupu. Následně je tento vstup od uživatele zpracován</w:t>
      </w:r>
      <w:r w:rsidRPr="00ED6590">
        <w:t xml:space="preserve"> tříd</w:t>
      </w:r>
      <w:r w:rsidR="008D5D7A">
        <w:t>ou</w:t>
      </w:r>
      <w:r w:rsidRPr="00ED6590">
        <w:t xml:space="preserve"> </w:t>
      </w:r>
      <w:proofErr w:type="spellStart"/>
      <w:r w:rsidRPr="00ED6590">
        <w:rPr>
          <w:rFonts w:ascii="Cascadia Code" w:hAnsi="Cascadia Code"/>
        </w:rPr>
        <w:t>ArgumentParser</w:t>
      </w:r>
      <w:proofErr w:type="spellEnd"/>
      <w:r w:rsidR="008D5D7A">
        <w:t xml:space="preserve"> předáním zadaného řetězce jejímu konstruktoru</w:t>
      </w:r>
      <w:r w:rsidR="00BC34DC">
        <w:t>.</w:t>
      </w:r>
    </w:p>
    <w:p w14:paraId="3236417B" w14:textId="77777777" w:rsidR="00BC34DC" w:rsidRDefault="00BC34DC" w:rsidP="004D29BA"/>
    <w:p w14:paraId="36A1952F" w14:textId="2D7C55B5" w:rsidR="001015F4" w:rsidRPr="00ED6590" w:rsidRDefault="00364179" w:rsidP="004D29BA">
      <w:proofErr w:type="spellStart"/>
      <w:r w:rsidRPr="00ED6590">
        <w:t>ArgumentParser</w:t>
      </w:r>
      <w:proofErr w:type="spellEnd"/>
      <w:r w:rsidRPr="00ED6590">
        <w:t xml:space="preserve"> může vyhazovat výjimky, které jsou tedy ošetřeny v </w:t>
      </w:r>
      <w:proofErr w:type="spellStart"/>
      <w:r w:rsidRPr="00ED6590">
        <w:t>try-catch</w:t>
      </w:r>
      <w:proofErr w:type="spellEnd"/>
      <w:r w:rsidRPr="00ED6590">
        <w:t xml:space="preserve"> bloku</w:t>
      </w:r>
      <w:r w:rsidR="00216F05">
        <w:t xml:space="preserve">. </w:t>
      </w:r>
      <w:r w:rsidR="00BC34DC">
        <w:t>V tomto případě je na standardní chybový výstup vypsána zpráva výjimky a příkazová řádka je znovu spuštěna bez</w:t>
      </w:r>
      <w:r w:rsidR="00216F05">
        <w:t xml:space="preserve"> pokus o zahájení</w:t>
      </w:r>
      <w:r w:rsidR="0071331A">
        <w:t xml:space="preserve"> </w:t>
      </w:r>
      <w:r w:rsidR="00BC34DC">
        <w:t>TFTP přenosu.</w:t>
      </w:r>
    </w:p>
    <w:p w14:paraId="1070DA25" w14:textId="77777777" w:rsidR="003B1BB2" w:rsidRDefault="003B1BB2" w:rsidP="004D29BA"/>
    <w:p w14:paraId="42AA7F8F" w14:textId="0826CD0B" w:rsidR="00364179" w:rsidRDefault="00364179" w:rsidP="004D29BA">
      <w:r w:rsidRPr="00ED6590">
        <w:t xml:space="preserve">Pokud jsou všechny argumenty příkazové řádky v pořádku, pokračuje se </w:t>
      </w:r>
      <w:r w:rsidR="0071331A">
        <w:t xml:space="preserve">vytvořením instance třídy </w:t>
      </w:r>
      <w:proofErr w:type="spellStart"/>
      <w:r w:rsidR="0071331A">
        <w:rPr>
          <w:rFonts w:ascii="Cascadia Code" w:hAnsi="Cascadia Code" w:cs="Cascadia Code"/>
        </w:rPr>
        <w:t>Tftp</w:t>
      </w:r>
      <w:proofErr w:type="spellEnd"/>
      <w:r w:rsidR="0071331A">
        <w:t xml:space="preserve"> předáním argumentů jejímu konstrukto</w:t>
      </w:r>
      <w:r w:rsidR="00216F05">
        <w:t>r</w:t>
      </w:r>
      <w:r w:rsidR="0071331A">
        <w:t xml:space="preserve">u. </w:t>
      </w:r>
      <w:r w:rsidR="00FB051C">
        <w:t xml:space="preserve">Zde dojde k pokusu o vytvoření souboru (v případě čtení ze serveru) nebo otevření souboru </w:t>
      </w:r>
      <w:r w:rsidR="00216F05">
        <w:t>pro</w:t>
      </w:r>
      <w:r w:rsidR="00FB051C">
        <w:t xml:space="preserve"> čtení (v případě zápisu na server). Pokud se nepodaří soubor otevřít, dojde k vyhození výjimky</w:t>
      </w:r>
      <w:r w:rsidR="00216F05">
        <w:t>, jejíž chyba je opět vypsána na standardní chybový výstup a dojde k</w:t>
      </w:r>
      <w:r w:rsidR="00FB051C">
        <w:t xml:space="preserve"> opětovnému navrácení k příkazové řádce bez zahájení přenosu.</w:t>
      </w:r>
    </w:p>
    <w:p w14:paraId="79F4309B" w14:textId="27F9AC74" w:rsidR="00FB051C" w:rsidRDefault="00FB051C" w:rsidP="004D29BA"/>
    <w:p w14:paraId="034C7326" w14:textId="3249E668" w:rsidR="00FB051C" w:rsidRDefault="00FB051C" w:rsidP="00837D14">
      <w:r>
        <w:t xml:space="preserve">V případě úspěšného pokusu o otevření souboru, je zahájen přenos voláním metody </w:t>
      </w:r>
      <w:r>
        <w:rPr>
          <w:rFonts w:ascii="Cascadia Code" w:hAnsi="Cascadia Code" w:cs="Cascadia Code"/>
        </w:rPr>
        <w:t>Transfer</w:t>
      </w:r>
      <w:r>
        <w:t xml:space="preserve">. Po dokončení přenosu dojde k uvolnění paměti používané objekty typu </w:t>
      </w:r>
      <w:proofErr w:type="spellStart"/>
      <w:r>
        <w:rPr>
          <w:rFonts w:ascii="Cascadia Code" w:hAnsi="Cascadia Code" w:cs="Cascadia Code"/>
        </w:rPr>
        <w:t>ArgumentParser</w:t>
      </w:r>
      <w:proofErr w:type="spellEnd"/>
      <w:r w:rsidRPr="00FB051C">
        <w:t xml:space="preserve"> a </w:t>
      </w:r>
      <w:proofErr w:type="spellStart"/>
      <w:r>
        <w:rPr>
          <w:rFonts w:ascii="Cascadia Code" w:hAnsi="Cascadia Code" w:cs="Cascadia Code"/>
        </w:rPr>
        <w:t>Tftp</w:t>
      </w:r>
      <w:proofErr w:type="spellEnd"/>
      <w:r w:rsidR="001C5833">
        <w:t xml:space="preserve"> a opětovnému návratu k příkazové řádce. Oproti původnímu zadání byly přidány příkaz </w:t>
      </w:r>
      <w:proofErr w:type="spellStart"/>
      <w:r w:rsidR="001C5833">
        <w:rPr>
          <w:b/>
          <w:bCs/>
        </w:rPr>
        <w:t>quit</w:t>
      </w:r>
      <w:proofErr w:type="spellEnd"/>
      <w:r w:rsidR="001C5833">
        <w:t xml:space="preserve"> a </w:t>
      </w:r>
      <w:r w:rsidR="001C5833">
        <w:rPr>
          <w:b/>
          <w:bCs/>
        </w:rPr>
        <w:t>exit</w:t>
      </w:r>
      <w:r w:rsidR="001C5833">
        <w:t xml:space="preserve"> pro ukončení programu a </w:t>
      </w:r>
      <w:proofErr w:type="spellStart"/>
      <w:r w:rsidR="001C5833">
        <w:rPr>
          <w:b/>
          <w:bCs/>
        </w:rPr>
        <w:t>help</w:t>
      </w:r>
      <w:proofErr w:type="spellEnd"/>
      <w:r w:rsidR="001C5833">
        <w:t xml:space="preserve"> pro zobrazení nápovědy k argumentům podporovaných tímto projektem.</w:t>
      </w:r>
    </w:p>
    <w:p w14:paraId="5818E38B" w14:textId="77777777" w:rsidR="001C5833" w:rsidRPr="001C5833" w:rsidRDefault="001C5833" w:rsidP="00837D14"/>
    <w:p w14:paraId="4809DF78" w14:textId="3DCEE060" w:rsidR="00393A1E" w:rsidRPr="00ED6590" w:rsidRDefault="00393A1E" w:rsidP="00837D14"/>
    <w:p w14:paraId="44829E4A" w14:textId="4B627383" w:rsidR="00393A1E" w:rsidRPr="00ED6590" w:rsidRDefault="00393A1E" w:rsidP="00ED6590">
      <w:pPr>
        <w:pStyle w:val="Heading2"/>
      </w:pPr>
      <w:bookmarkStart w:id="3" w:name="_Toc87898351"/>
      <w:proofErr w:type="spellStart"/>
      <w:r w:rsidRPr="00ED6590">
        <w:t>ArgumentParser</w:t>
      </w:r>
      <w:bookmarkEnd w:id="3"/>
      <w:proofErr w:type="spellEnd"/>
    </w:p>
    <w:p w14:paraId="4EC6624B" w14:textId="739F2E98" w:rsidR="00483995" w:rsidRDefault="004D29BA" w:rsidP="004D29BA">
      <w:pPr>
        <w:suppressAutoHyphens w:val="0"/>
      </w:pPr>
      <w:r>
        <w:t>Třída</w:t>
      </w:r>
      <w:r w:rsidR="001C5833">
        <w:t xml:space="preserve">, která slouží ke zpracování argumentů příkazové řádky zadané uživatelem programu a jejich uložení v atributech této třídy. Pro zpracování argumentů je použita </w:t>
      </w:r>
      <w:r w:rsidR="00216F05">
        <w:t>funkce</w:t>
      </w:r>
      <w:r w:rsidR="001C5833">
        <w:t xml:space="preserve"> </w:t>
      </w:r>
      <w:proofErr w:type="spellStart"/>
      <w:r w:rsidR="001C5833" w:rsidRPr="001C5833">
        <w:rPr>
          <w:b/>
          <w:bCs/>
        </w:rPr>
        <w:t>getopt</w:t>
      </w:r>
      <w:proofErr w:type="spellEnd"/>
      <w:r w:rsidR="001C5833">
        <w:t>, která počítá se standardním vstupním bodem jazyka C</w:t>
      </w:r>
      <w:r w:rsidR="00216F05">
        <w:t>/C++</w:t>
      </w:r>
      <w:r w:rsidR="001C5833">
        <w:t xml:space="preserve"> a</w:t>
      </w:r>
      <w:r w:rsidR="00216F05">
        <w:t xml:space="preserve"> s</w:t>
      </w:r>
      <w:r w:rsidR="001C5833">
        <w:t xml:space="preserve"> argument</w:t>
      </w:r>
      <w:r w:rsidR="00216F05">
        <w:t>y</w:t>
      </w:r>
      <w:r w:rsidR="001C5833">
        <w:t xml:space="preserve"> programu uložených v poli </w:t>
      </w:r>
      <w:proofErr w:type="spellStart"/>
      <w:r w:rsidR="001C5833">
        <w:rPr>
          <w:b/>
          <w:bCs/>
        </w:rPr>
        <w:t>argv</w:t>
      </w:r>
      <w:proofErr w:type="spellEnd"/>
      <w:r w:rsidR="001C5833">
        <w:t xml:space="preserve"> a jejich počet v proměnné </w:t>
      </w:r>
      <w:proofErr w:type="spellStart"/>
      <w:r w:rsidR="001C5833">
        <w:rPr>
          <w:b/>
          <w:bCs/>
        </w:rPr>
        <w:t>argc</w:t>
      </w:r>
      <w:proofErr w:type="spellEnd"/>
      <w:r w:rsidR="001C5833">
        <w:t>. Proto je řetězec ze standardního vstupu ještě předzpracován do tohoto formátu</w:t>
      </w:r>
      <w:r w:rsidR="00483995">
        <w:t>.</w:t>
      </w:r>
    </w:p>
    <w:p w14:paraId="19D50A1D" w14:textId="1CF1C2D8" w:rsidR="00483995" w:rsidRDefault="00483995" w:rsidP="004D29BA">
      <w:pPr>
        <w:suppressAutoHyphens w:val="0"/>
      </w:pPr>
    </w:p>
    <w:p w14:paraId="01CC96D0" w14:textId="6AEA490F" w:rsidR="00483995" w:rsidRPr="00483995" w:rsidRDefault="00483995" w:rsidP="004D29BA">
      <w:pPr>
        <w:suppressAutoHyphens w:val="0"/>
      </w:pPr>
      <w:r>
        <w:t xml:space="preserve">V případě chyby od </w:t>
      </w:r>
      <w:proofErr w:type="spellStart"/>
      <w:r>
        <w:t>getopt</w:t>
      </w:r>
      <w:proofErr w:type="spellEnd"/>
      <w:r>
        <w:t xml:space="preserve">, neplatné hodnoty pro daný argument nebo chybějící povinný argument má za následek vyvolání výjimky </w:t>
      </w:r>
      <w:proofErr w:type="spellStart"/>
      <w:proofErr w:type="gramStart"/>
      <w:r>
        <w:rPr>
          <w:rFonts w:ascii="Cascadia Code" w:hAnsi="Cascadia Code" w:cs="Cascadia Code"/>
        </w:rPr>
        <w:t>std</w:t>
      </w:r>
      <w:proofErr w:type="spellEnd"/>
      <w:r>
        <w:rPr>
          <w:rFonts w:ascii="Cascadia Code" w:hAnsi="Cascadia Code" w:cs="Cascadia Code"/>
        </w:rPr>
        <w:t>::</w:t>
      </w:r>
      <w:proofErr w:type="spellStart"/>
      <w:proofErr w:type="gramEnd"/>
      <w:r>
        <w:rPr>
          <w:rFonts w:ascii="Cascadia Code" w:hAnsi="Cascadia Code" w:cs="Cascadia Code"/>
        </w:rPr>
        <w:t>invalid_argument</w:t>
      </w:r>
      <w:proofErr w:type="spellEnd"/>
      <w:r w:rsidR="00EF31A0">
        <w:t xml:space="preserve"> s odpovídající chybovou zprávou, která je vypsána na vyšší vrstvě během zachytávání této výjimky</w:t>
      </w:r>
      <w:r>
        <w:t>.</w:t>
      </w:r>
    </w:p>
    <w:p w14:paraId="76799217" w14:textId="77777777" w:rsidR="00483995" w:rsidRDefault="00483995" w:rsidP="004D29BA">
      <w:pPr>
        <w:suppressAutoHyphens w:val="0"/>
      </w:pPr>
    </w:p>
    <w:p w14:paraId="0F1B2513" w14:textId="232CBA7C" w:rsidR="004D29BA" w:rsidRDefault="00483995" w:rsidP="004D29BA">
      <w:pPr>
        <w:suppressAutoHyphens w:val="0"/>
      </w:pPr>
      <w:r>
        <w:t>Program pracuje s následujícími argumenty</w:t>
      </w:r>
      <w:r w:rsidR="004D29BA">
        <w:t>:</w:t>
      </w:r>
    </w:p>
    <w:p w14:paraId="6ADD24B1" w14:textId="29AC5FBE" w:rsidR="00837D14" w:rsidRPr="00483995" w:rsidRDefault="00787CC5" w:rsidP="00483995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 w:rsidRPr="00787CC5">
        <w:t>-</w:t>
      </w:r>
      <w:r w:rsidR="00483995">
        <w:rPr>
          <w:b/>
          <w:bCs/>
        </w:rPr>
        <w:t>R</w:t>
      </w:r>
      <w:r w:rsidR="00483995">
        <w:t>: Nastavit režim čtení ze serveru. (povinný, nelze kombinovat s argumentem -W)</w:t>
      </w:r>
    </w:p>
    <w:p w14:paraId="7D7A50A7" w14:textId="5DE2203B" w:rsidR="00483995" w:rsidRPr="00483995" w:rsidRDefault="00483995" w:rsidP="00483995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-W</w:t>
      </w:r>
      <w:r>
        <w:t>: Nastavit režim zápisu na server. (povinný, nelze kombinovat s argumentem -R)</w:t>
      </w:r>
    </w:p>
    <w:p w14:paraId="46FB4CC7" w14:textId="2BEA8407" w:rsidR="00483995" w:rsidRPr="00483995" w:rsidRDefault="00483995" w:rsidP="00483995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-d &lt;</w:t>
      </w:r>
      <w:proofErr w:type="spellStart"/>
      <w:r w:rsidR="00EF31A0">
        <w:rPr>
          <w:b/>
          <w:bCs/>
        </w:rPr>
        <w:t>filename</w:t>
      </w:r>
      <w:proofErr w:type="spellEnd"/>
      <w:r>
        <w:rPr>
          <w:b/>
          <w:bCs/>
        </w:rPr>
        <w:t>&gt;</w:t>
      </w:r>
      <w:r>
        <w:t>: Cílový soubor, ze kterého se čte nebo je zapisován na server. (povinný)</w:t>
      </w:r>
    </w:p>
    <w:p w14:paraId="1BC538E3" w14:textId="67CB3CD4" w:rsidR="00483995" w:rsidRPr="00EF31A0" w:rsidRDefault="00EF31A0" w:rsidP="00483995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-t &lt;</w:t>
      </w:r>
      <w:proofErr w:type="spellStart"/>
      <w:r>
        <w:rPr>
          <w:b/>
          <w:bCs/>
        </w:rPr>
        <w:t>timeout</w:t>
      </w:r>
      <w:proofErr w:type="spellEnd"/>
      <w:r>
        <w:rPr>
          <w:b/>
          <w:bCs/>
        </w:rPr>
        <w:t>&gt;</w:t>
      </w:r>
      <w:r>
        <w:t>: Časový limit v sekundách.</w:t>
      </w:r>
    </w:p>
    <w:p w14:paraId="42EE6B03" w14:textId="2366DFA1" w:rsidR="00EF31A0" w:rsidRPr="00EF31A0" w:rsidRDefault="00EF31A0" w:rsidP="00EF31A0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-s &lt;</w:t>
      </w:r>
      <w:proofErr w:type="spellStart"/>
      <w:r>
        <w:rPr>
          <w:b/>
          <w:bCs/>
        </w:rPr>
        <w:t>size</w:t>
      </w:r>
      <w:proofErr w:type="spellEnd"/>
      <w:r>
        <w:rPr>
          <w:b/>
          <w:bCs/>
        </w:rPr>
        <w:t>&gt;:</w:t>
      </w:r>
      <w:r>
        <w:t xml:space="preserve"> Velikost bloku v datovém paketu TFTP. (výchozí: 512 B)</w:t>
      </w:r>
    </w:p>
    <w:p w14:paraId="3C9DDB89" w14:textId="02406184" w:rsidR="00EF31A0" w:rsidRPr="00EF31A0" w:rsidRDefault="00EF31A0" w:rsidP="00EF31A0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-m:</w:t>
      </w:r>
      <w:r>
        <w:t xml:space="preserve"> Přepnutí do režimu </w:t>
      </w:r>
      <w:proofErr w:type="spellStart"/>
      <w:r>
        <w:t>multicastu</w:t>
      </w:r>
      <w:proofErr w:type="spellEnd"/>
      <w:r>
        <w:t>.</w:t>
      </w:r>
    </w:p>
    <w:p w14:paraId="7AE9B9ED" w14:textId="619A0BD8" w:rsidR="00EF31A0" w:rsidRPr="00EF31A0" w:rsidRDefault="00EF31A0" w:rsidP="00EF31A0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-c &lt;mode&gt;:</w:t>
      </w:r>
      <w:r>
        <w:t xml:space="preserve"> Mód přenosu (</w:t>
      </w:r>
      <w:proofErr w:type="spellStart"/>
      <w:r>
        <w:rPr>
          <w:b/>
          <w:bCs/>
        </w:rPr>
        <w:t>octet</w:t>
      </w:r>
      <w:proofErr w:type="spellEnd"/>
      <w:r>
        <w:t>/</w:t>
      </w:r>
      <w:proofErr w:type="spellStart"/>
      <w:r>
        <w:rPr>
          <w:b/>
          <w:bCs/>
        </w:rPr>
        <w:t>binary</w:t>
      </w:r>
      <w:proofErr w:type="spellEnd"/>
      <w:r>
        <w:t xml:space="preserve"> nebo </w:t>
      </w:r>
      <w:r>
        <w:rPr>
          <w:b/>
          <w:bCs/>
        </w:rPr>
        <w:t>ascii</w:t>
      </w:r>
      <w:r>
        <w:t>/</w:t>
      </w:r>
      <w:proofErr w:type="spellStart"/>
      <w:r>
        <w:rPr>
          <w:b/>
          <w:bCs/>
        </w:rPr>
        <w:t>netascii</w:t>
      </w:r>
      <w:proofErr w:type="spellEnd"/>
      <w:r>
        <w:t xml:space="preserve">, výchozí: </w:t>
      </w:r>
      <w:proofErr w:type="spellStart"/>
      <w:r>
        <w:t>octet</w:t>
      </w:r>
      <w:proofErr w:type="spellEnd"/>
      <w:r>
        <w:t>)</w:t>
      </w:r>
    </w:p>
    <w:p w14:paraId="7FD412C2" w14:textId="77777777" w:rsidR="00EF31A0" w:rsidRPr="00EF31A0" w:rsidRDefault="00EF31A0" w:rsidP="00EF31A0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-a &lt;</w:t>
      </w: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>&gt;,&lt;port&gt;:</w:t>
      </w:r>
      <w:r>
        <w:t xml:space="preserve"> IPv4 nebo IPv6 adresa a port serveru. (výchozí: 127.0.0.1</w:t>
      </w:r>
      <w:r w:rsidRPr="00EF31A0">
        <w:rPr>
          <w:i/>
          <w:iCs/>
        </w:rPr>
        <w:t>,</w:t>
      </w:r>
      <w:r>
        <w:t>69)</w:t>
      </w:r>
    </w:p>
    <w:p w14:paraId="15AF81E4" w14:textId="77777777" w:rsidR="00EF31A0" w:rsidRDefault="00EF31A0">
      <w:pPr>
        <w:suppressAutoHyphens w:val="0"/>
      </w:pPr>
      <w:r>
        <w:br w:type="page"/>
      </w:r>
    </w:p>
    <w:p w14:paraId="6EBD0C69" w14:textId="77777777" w:rsidR="00EF31A0" w:rsidRDefault="00EF31A0" w:rsidP="00EF31A0">
      <w:pPr>
        <w:pStyle w:val="Heading2"/>
      </w:pPr>
      <w:bookmarkStart w:id="4" w:name="_Toc87898352"/>
      <w:proofErr w:type="spellStart"/>
      <w:r>
        <w:lastRenderedPageBreak/>
        <w:t>Tftp</w:t>
      </w:r>
      <w:bookmarkEnd w:id="4"/>
      <w:proofErr w:type="spellEnd"/>
    </w:p>
    <w:p w14:paraId="0D6CD3DD" w14:textId="38DDE252" w:rsidR="00EF31A0" w:rsidRDefault="00E54BE7" w:rsidP="00EF31A0">
      <w:r>
        <w:t>Třída implementující klientskou komunikaci protokolem TFTP</w:t>
      </w:r>
      <w:r w:rsidR="00BB0211">
        <w:t>[2]</w:t>
      </w:r>
      <w:r>
        <w:t xml:space="preserve">. </w:t>
      </w:r>
      <w:r w:rsidR="005F603A">
        <w:t xml:space="preserve">Parametrem konstruktoru je instance třídy </w:t>
      </w:r>
      <w:proofErr w:type="spellStart"/>
      <w:r w:rsidR="005F603A">
        <w:rPr>
          <w:rFonts w:ascii="Cascadia Code" w:hAnsi="Cascadia Code" w:cs="Cascadia Code"/>
        </w:rPr>
        <w:t>ArgumentParser</w:t>
      </w:r>
      <w:proofErr w:type="spellEnd"/>
      <w:r w:rsidR="005F603A">
        <w:t>, která obsahuje atributy nastavení přenosu.</w:t>
      </w:r>
    </w:p>
    <w:p w14:paraId="38F27773" w14:textId="48DD400F" w:rsidR="007B5B62" w:rsidRDefault="007B5B62" w:rsidP="00EF31A0"/>
    <w:p w14:paraId="75C39C8F" w14:textId="1A1C0D8E" w:rsidR="00556D25" w:rsidRDefault="007B5B62" w:rsidP="00EF31A0">
      <w:r>
        <w:t xml:space="preserve">Veřejnou metodou </w:t>
      </w:r>
      <w:proofErr w:type="spellStart"/>
      <w:r>
        <w:rPr>
          <w:rFonts w:ascii="Cascadia Code" w:hAnsi="Cascadia Code" w:cs="Cascadia Code"/>
        </w:rPr>
        <w:t>Tranfer</w:t>
      </w:r>
      <w:proofErr w:type="spellEnd"/>
      <w:r>
        <w:t xml:space="preserve"> je</w:t>
      </w:r>
      <w:r w:rsidR="00E40313">
        <w:t xml:space="preserve"> po inicializaci BSD schránky</w:t>
      </w:r>
      <w:r>
        <w:t xml:space="preserve"> zahájena komunikace se serverem</w:t>
      </w:r>
      <w:r w:rsidR="00E40313">
        <w:t xml:space="preserve"> voláním metody </w:t>
      </w:r>
      <w:proofErr w:type="spellStart"/>
      <w:r w:rsidR="00E40313">
        <w:rPr>
          <w:rFonts w:ascii="Cascadia Code" w:hAnsi="Cascadia Code" w:cs="Cascadia Code"/>
        </w:rPr>
        <w:t>Request</w:t>
      </w:r>
      <w:proofErr w:type="spellEnd"/>
      <w:r>
        <w:t>.</w:t>
      </w:r>
      <w:r w:rsidR="00E40313">
        <w:t xml:space="preserve"> Pokud je nastaven režim zápisu na server, je předtím soubor otevřen ke čtení, pokud neexistuje, skončí se s výjimkou před zahájením komunikace. Jinak je soubor pro zápis dat ze serveru otevřen po zahájení komunikace, server mohl v chybovém packetu ohlásit, že daný soubor neexistuje, a </w:t>
      </w:r>
      <w:proofErr w:type="spellStart"/>
      <w:r w:rsidR="00E40313">
        <w:rPr>
          <w:rFonts w:ascii="Cascadia Code" w:hAnsi="Cascadia Code" w:cs="Cascadia Code"/>
        </w:rPr>
        <w:t>Request</w:t>
      </w:r>
      <w:proofErr w:type="spellEnd"/>
      <w:r w:rsidR="00E40313">
        <w:t xml:space="preserve"> skončit vyhozením výjimky.</w:t>
      </w:r>
      <w:r w:rsidR="009D61C5">
        <w:t xml:space="preserve"> </w:t>
      </w:r>
      <w:r w:rsidR="009D61C5">
        <w:t>Pokud bylo zahájení komunikace úspěšné, následuje buď příjem dat od serveru, nebo odesílání dat od klienta.</w:t>
      </w:r>
    </w:p>
    <w:p w14:paraId="552918AE" w14:textId="77777777" w:rsidR="00556D25" w:rsidRDefault="00556D25" w:rsidP="00EF31A0"/>
    <w:p w14:paraId="0F200B58" w14:textId="2E8E5C28" w:rsidR="009D61C5" w:rsidRDefault="00556D25" w:rsidP="00EF31A0">
      <w:proofErr w:type="spellStart"/>
      <w:r>
        <w:rPr>
          <w:rFonts w:ascii="Cascadia Code" w:hAnsi="Cascadia Code" w:cs="Cascadia Code"/>
        </w:rPr>
        <w:t>Request</w:t>
      </w:r>
      <w:proofErr w:type="spellEnd"/>
      <w:r>
        <w:t xml:space="preserve"> </w:t>
      </w:r>
      <w:r>
        <w:t xml:space="preserve">začíná dynamickým vytvořením TFTP </w:t>
      </w:r>
      <w:proofErr w:type="spellStart"/>
      <w:r>
        <w:t>Request</w:t>
      </w:r>
      <w:proofErr w:type="spellEnd"/>
      <w:r>
        <w:t xml:space="preserve"> packetu, kam jsou na konec nakopírována potřebná zadaná nastavení. Možnost </w:t>
      </w:r>
      <w:proofErr w:type="spellStart"/>
      <w:r>
        <w:rPr>
          <w:b/>
          <w:bCs/>
        </w:rPr>
        <w:t>tsize</w:t>
      </w:r>
      <w:proofErr w:type="spellEnd"/>
      <w:r w:rsidR="00FF69F0">
        <w:t>[3]</w:t>
      </w:r>
      <w:r>
        <w:t xml:space="preserve"> je zadána pouze pro binární přenosy, </w:t>
      </w:r>
      <w:proofErr w:type="spellStart"/>
      <w:r>
        <w:rPr>
          <w:b/>
          <w:bCs/>
        </w:rPr>
        <w:t>timeout</w:t>
      </w:r>
      <w:proofErr w:type="spellEnd"/>
      <w:r w:rsidR="00FF69F0">
        <w:t>[3]</w:t>
      </w:r>
      <w:r>
        <w:t xml:space="preserve"> a </w:t>
      </w:r>
      <w:proofErr w:type="spellStart"/>
      <w:r>
        <w:rPr>
          <w:b/>
          <w:bCs/>
        </w:rPr>
        <w:t>blksize</w:t>
      </w:r>
      <w:proofErr w:type="spellEnd"/>
      <w:r w:rsidR="00FF69F0">
        <w:t>[4],</w:t>
      </w:r>
      <w:r>
        <w:t xml:space="preserve"> pokud jsou</w:t>
      </w:r>
      <w:r w:rsidR="00FF69F0">
        <w:t xml:space="preserve"> nastaveny</w:t>
      </w:r>
      <w:r>
        <w:t xml:space="preserve"> dan</w:t>
      </w:r>
      <w:r w:rsidR="00FF69F0">
        <w:t>é</w:t>
      </w:r>
      <w:r>
        <w:t> </w:t>
      </w:r>
      <w:proofErr w:type="spellStart"/>
      <w:r w:rsidR="00FF69F0">
        <w:rPr>
          <w:rFonts w:ascii="Cascadia Code" w:hAnsi="Cascadia Code" w:cs="Cascadia Code"/>
        </w:rPr>
        <w:t>ArgumentParser</w:t>
      </w:r>
      <w:proofErr w:type="spellEnd"/>
      <w:r w:rsidR="00FF69F0">
        <w:t xml:space="preserve"> </w:t>
      </w:r>
      <w:r>
        <w:t>atribut</w:t>
      </w:r>
      <w:r w:rsidR="00FF69F0">
        <w:t xml:space="preserve">y </w:t>
      </w:r>
      <w:proofErr w:type="spellStart"/>
      <w:r w:rsidR="00FF69F0">
        <w:rPr>
          <w:i/>
          <w:iCs/>
        </w:rPr>
        <w:t>Timeout</w:t>
      </w:r>
      <w:proofErr w:type="spellEnd"/>
      <w:r w:rsidR="00FF69F0">
        <w:t xml:space="preserve"> a </w:t>
      </w:r>
      <w:proofErr w:type="spellStart"/>
      <w:r w:rsidR="00FF69F0">
        <w:rPr>
          <w:i/>
          <w:iCs/>
        </w:rPr>
        <w:t>Size</w:t>
      </w:r>
      <w:proofErr w:type="spellEnd"/>
      <w:r>
        <w:t xml:space="preserve">. </w:t>
      </w:r>
      <w:r w:rsidR="009D61C5">
        <w:t xml:space="preserve">Následuje příjem odpovědi od serveru. V případě přijetí chybového packetu, je vyhozena výjimka se zprávou od serveru. Jinak je pro binární přenos načtena hodnota </w:t>
      </w:r>
      <w:proofErr w:type="spellStart"/>
      <w:r w:rsidR="009D61C5">
        <w:rPr>
          <w:b/>
          <w:bCs/>
        </w:rPr>
        <w:t>tsize</w:t>
      </w:r>
      <w:proofErr w:type="spellEnd"/>
      <w:r w:rsidR="009D61C5">
        <w:t>, která je návratovou hodnotou této metody.</w:t>
      </w:r>
    </w:p>
    <w:p w14:paraId="3258D355" w14:textId="14B04464" w:rsidR="0037053D" w:rsidRDefault="0037053D" w:rsidP="00EF31A0"/>
    <w:p w14:paraId="69A30384" w14:textId="738DE73E" w:rsidR="004B0264" w:rsidRDefault="0037053D" w:rsidP="00EF31A0">
      <w:r>
        <w:t xml:space="preserve">Odesílání dat probíhá v režimu zápisu na server voláním metody </w:t>
      </w:r>
      <w:proofErr w:type="spellStart"/>
      <w:r w:rsidRPr="004B0264">
        <w:rPr>
          <w:rFonts w:ascii="Cascadia Code" w:hAnsi="Cascadia Code" w:cs="Cascadia Code"/>
        </w:rPr>
        <w:t>SendDataBlock</w:t>
      </w:r>
      <w:proofErr w:type="spellEnd"/>
      <w:r w:rsidR="004B0264">
        <w:t xml:space="preserve"> a p</w:t>
      </w:r>
      <w:r w:rsidR="00556D25">
        <w:t xml:space="preserve">říjem dat probíhá v režimu čtení ze serveru voláním metody </w:t>
      </w:r>
      <w:proofErr w:type="spellStart"/>
      <w:r w:rsidR="00556D25">
        <w:rPr>
          <w:rFonts w:ascii="Cascadia Code" w:hAnsi="Cascadia Code" w:cs="Cascadia Code"/>
        </w:rPr>
        <w:t>ReceiveData</w:t>
      </w:r>
      <w:proofErr w:type="spellEnd"/>
      <w:r w:rsidR="004B0264">
        <w:t xml:space="preserve">. Obě </w:t>
      </w:r>
      <w:r w:rsidR="00556D25">
        <w:t>s parametrem celkové velikosti souboru, získané z odpovědi serveru při zahájení komunikace.</w:t>
      </w:r>
    </w:p>
    <w:p w14:paraId="25ED19C8" w14:textId="1402C2A2" w:rsidR="004B0264" w:rsidRDefault="004B0264" w:rsidP="00EF31A0"/>
    <w:p w14:paraId="48F18470" w14:textId="3C1A20EF" w:rsidR="004B0264" w:rsidRDefault="00242ED0" w:rsidP="00EF31A0">
      <w:r>
        <w:t xml:space="preserve">Hlavní smyčka metody </w:t>
      </w:r>
      <w:proofErr w:type="spellStart"/>
      <w:r w:rsidR="004B0264" w:rsidRPr="004B0264">
        <w:rPr>
          <w:rFonts w:ascii="Cascadia Code" w:hAnsi="Cascadia Code" w:cs="Cascadia Code"/>
        </w:rPr>
        <w:t>SendDataBlock</w:t>
      </w:r>
      <w:proofErr w:type="spellEnd"/>
      <w:r w:rsidR="004B0264">
        <w:t xml:space="preserve"> </w:t>
      </w:r>
      <w:r>
        <w:t>začíná</w:t>
      </w:r>
      <w:r w:rsidR="004B0264">
        <w:t xml:space="preserve"> inkrementací aktuálního bloku dat k odeslání a</w:t>
      </w:r>
      <w:r w:rsidR="00511771">
        <w:t xml:space="preserve"> dynamickým</w:t>
      </w:r>
      <w:r w:rsidR="004B0264">
        <w:t xml:space="preserve"> vytvoření</w:t>
      </w:r>
      <w:r w:rsidR="00511771">
        <w:t xml:space="preserve">m datového packetu k odeslání. Následně přečte část zdrojového souboru, podle velikosti dat k odeslání a odešle na server. Nakonec čeká na </w:t>
      </w:r>
      <w:r w:rsidR="00581329">
        <w:t>ACK</w:t>
      </w:r>
      <w:r w:rsidR="00511771">
        <w:t xml:space="preserve"> packet v odpovědi od serveru. Při čekání na odpověď může dojít k vypršení časového limitu, pokud je nastaven. Zde také může nastat situace přijetí packetu s jiným operačním kódem než ACK, v tomto případě končí přenos s chybou.</w:t>
      </w:r>
      <w:r w:rsidR="00BB0211">
        <w:t xml:space="preserve"> Když nenastala žádná chyba, přenos končí, pokud byla klientem odeslána všechna data.</w:t>
      </w:r>
    </w:p>
    <w:p w14:paraId="62A246E8" w14:textId="068730C4" w:rsidR="00511771" w:rsidRDefault="00511771" w:rsidP="00EF31A0"/>
    <w:p w14:paraId="0B6673B2" w14:textId="64FB27B2" w:rsidR="00511771" w:rsidRPr="00511771" w:rsidRDefault="00511771" w:rsidP="00EF31A0">
      <w:r>
        <w:t xml:space="preserve">Metoda </w:t>
      </w:r>
      <w:proofErr w:type="spellStart"/>
      <w:r>
        <w:rPr>
          <w:rFonts w:ascii="Cascadia Code" w:hAnsi="Cascadia Code" w:cs="Cascadia Code"/>
        </w:rPr>
        <w:t>ReceiveData</w:t>
      </w:r>
      <w:proofErr w:type="spellEnd"/>
      <w:r>
        <w:t xml:space="preserve"> začíná vytvořením bufferu dle zadané velikosti, 4 B pro operační kód a číslo bloku + velikost v B nastavená v </w:t>
      </w:r>
      <w:proofErr w:type="spellStart"/>
      <w:r>
        <w:rPr>
          <w:rFonts w:ascii="Cascadia Code" w:hAnsi="Cascadia Code" w:cs="Cascadia Code"/>
        </w:rPr>
        <w:t>ArgumentParser</w:t>
      </w:r>
      <w:proofErr w:type="spellEnd"/>
      <w:r>
        <w:t> atribut</w:t>
      </w:r>
      <w:r>
        <w:t xml:space="preserve">u </w:t>
      </w:r>
      <w:proofErr w:type="spellStart"/>
      <w:r w:rsidRPr="00511771">
        <w:rPr>
          <w:i/>
          <w:iCs/>
        </w:rPr>
        <w:t>Size</w:t>
      </w:r>
      <w:proofErr w:type="spellEnd"/>
      <w:r w:rsidR="00476371">
        <w:t xml:space="preserve"> (výchozí 512 B)</w:t>
      </w:r>
      <w:r>
        <w:t>.</w:t>
      </w:r>
      <w:r w:rsidR="00476371">
        <w:t xml:space="preserve"> Poté začíná svou hlavní smyčku odesláním </w:t>
      </w:r>
      <w:r w:rsidR="00581329">
        <w:t>ACK</w:t>
      </w:r>
      <w:r w:rsidR="00476371">
        <w:t xml:space="preserve"> packetu s číslem aktuálně přijatého bloku dat (na začátku přenosu 0 značí žádost o první blok dat). Poté probíhá samotný příjem dat, kde je zkontrolováno číslo přijatého bloku dat, pokud se toto číslo nerovná očekávanému číslu bloku, číslo aktuálního bloku se </w:t>
      </w:r>
      <w:proofErr w:type="spellStart"/>
      <w:r w:rsidR="00476371">
        <w:t>dekrementuje</w:t>
      </w:r>
      <w:proofErr w:type="spellEnd"/>
      <w:r w:rsidR="00476371">
        <w:t xml:space="preserve"> (značí opětovné potvrzení posledních přijatých dat) a vrací se k odeslání </w:t>
      </w:r>
      <w:r w:rsidR="00581329">
        <w:t>ACK</w:t>
      </w:r>
      <w:r w:rsidR="00476371">
        <w:t xml:space="preserve"> packetu. Jestliže je přijatý packet v pořádku, jsou obsažená data zapsána do cílového souboru.</w:t>
      </w:r>
      <w:r w:rsidR="00581329">
        <w:t xml:space="preserve"> Přenos končí v momentě, kdy velikost přijatého packetu je menší než velikost bufferu. Příjem posledních dat je před návratem </w:t>
      </w:r>
      <w:r w:rsidR="00BB0211">
        <w:t xml:space="preserve">z volání </w:t>
      </w:r>
      <w:r w:rsidR="00581329">
        <w:t>potvrzen odesláním ACK packetu.</w:t>
      </w:r>
    </w:p>
    <w:p w14:paraId="1A3F6DB9" w14:textId="77777777" w:rsidR="00EF31A0" w:rsidRDefault="00EF31A0" w:rsidP="00EF31A0"/>
    <w:p w14:paraId="73021F3E" w14:textId="65CA99E1" w:rsidR="00EF31A0" w:rsidRDefault="006E2D5C" w:rsidP="00EF31A0">
      <w:pPr>
        <w:pStyle w:val="Heading2"/>
      </w:pPr>
      <w:bookmarkStart w:id="5" w:name="_Toc87898353"/>
      <w:proofErr w:type="spellStart"/>
      <w:r>
        <w:t>Stamp</w:t>
      </w:r>
      <w:r w:rsidR="00EF31A0">
        <w:t>MessagePrinter</w:t>
      </w:r>
      <w:bookmarkEnd w:id="5"/>
      <w:proofErr w:type="spellEnd"/>
    </w:p>
    <w:p w14:paraId="480FB39B" w14:textId="0DA65B09" w:rsidR="008D5D7A" w:rsidRPr="00EF31A0" w:rsidRDefault="006E2D5C" w:rsidP="00EF31A0">
      <w:r>
        <w:t>Pomocná třída se statickými metodami pro výpisy s časovým razítkem (</w:t>
      </w:r>
      <w:proofErr w:type="spellStart"/>
      <w:r>
        <w:rPr>
          <w:rFonts w:ascii="Cascadia Code" w:hAnsi="Cascadia Code" w:cs="Cascadia Code"/>
        </w:rPr>
        <w:t>Print</w:t>
      </w:r>
      <w:proofErr w:type="spellEnd"/>
      <w:r>
        <w:t xml:space="preserve">, pro výpis na standardní výstup, </w:t>
      </w:r>
      <w:r w:rsidRPr="006E2D5C">
        <w:t>a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</w:rPr>
        <w:t>PrintError</w:t>
      </w:r>
      <w:proofErr w:type="spellEnd"/>
      <w:r>
        <w:t xml:space="preserve">, pro výpis na standardní chybový výstup). Uvnitř těchto metod je volána privátní metoda </w:t>
      </w:r>
      <w:proofErr w:type="spellStart"/>
      <w:r w:rsidRPr="006E2D5C">
        <w:rPr>
          <w:rFonts w:ascii="Cascadia Code" w:hAnsi="Cascadia Code" w:cs="Cascadia Code"/>
        </w:rPr>
        <w:t>PrintWithTimeStamp</w:t>
      </w:r>
      <w:proofErr w:type="spellEnd"/>
      <w:r>
        <w:t xml:space="preserve">, </w:t>
      </w:r>
      <w:r w:rsidR="005D2353">
        <w:t>která přijímá krom samotné zprávy i parametr výstup, na kterém má být vypsána.</w:t>
      </w:r>
      <w:r w:rsidR="008D5D7A">
        <w:br w:type="page"/>
      </w:r>
    </w:p>
    <w:p w14:paraId="4393E84E" w14:textId="12D9C964" w:rsidR="00393A1E" w:rsidRDefault="00ED6590" w:rsidP="008D5D7A">
      <w:pPr>
        <w:pStyle w:val="Heading1"/>
        <w:numPr>
          <w:ilvl w:val="0"/>
          <w:numId w:val="0"/>
        </w:numPr>
        <w:rPr>
          <w:lang w:val="cs-CZ"/>
        </w:rPr>
      </w:pPr>
      <w:bookmarkStart w:id="6" w:name="_Toc87898354"/>
      <w:r w:rsidRPr="00ED6590">
        <w:rPr>
          <w:lang w:val="cs-CZ"/>
        </w:rPr>
        <w:lastRenderedPageBreak/>
        <w:t>Seznam literatury</w:t>
      </w:r>
      <w:bookmarkEnd w:id="6"/>
    </w:p>
    <w:p w14:paraId="50F29C83" w14:textId="77777777" w:rsidR="00B67036" w:rsidRPr="00B67036" w:rsidRDefault="00B67036" w:rsidP="00B67036"/>
    <w:p w14:paraId="4374D08E" w14:textId="1FE71EC1" w:rsidR="00BB0211" w:rsidRDefault="00BB0211" w:rsidP="00EF31A0">
      <w:pPr>
        <w:rPr>
          <w:rFonts w:ascii="Open Sans" w:hAnsi="Open Sans" w:cs="Open Sans"/>
          <w:color w:val="212529"/>
          <w:shd w:val="clear" w:color="auto" w:fill="FFFFFF"/>
        </w:rPr>
      </w:pPr>
      <w:r>
        <w:t>[</w:t>
      </w:r>
      <w:r w:rsidR="00FF69F0">
        <w:t>1</w:t>
      </w:r>
      <w:r>
        <w:t xml:space="preserve">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RFC 1350: THE TFTP PROTOCOL (REVISION 2)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2021-11-15]. Dostupné z: </w:t>
      </w:r>
      <w:hyperlink r:id="rId8" w:history="1">
        <w:r w:rsidRPr="00BE60C1">
          <w:rPr>
            <w:rStyle w:val="Hyperlink"/>
            <w:rFonts w:ascii="Open Sans" w:hAnsi="Open Sans" w:cs="Open Sans"/>
            <w:shd w:val="clear" w:color="auto" w:fill="FFFFFF"/>
          </w:rPr>
          <w:t>https://datatracker.ietf.org/doc/html/rfc1350</w:t>
        </w:r>
      </w:hyperlink>
    </w:p>
    <w:p w14:paraId="0093940E" w14:textId="38A38A91" w:rsidR="00FF69F0" w:rsidRDefault="00FF69F0" w:rsidP="00EF31A0">
      <w:pPr>
        <w:rPr>
          <w:rFonts w:ascii="Open Sans" w:hAnsi="Open Sans" w:cs="Open Sans"/>
          <w:color w:val="212529"/>
          <w:shd w:val="clear" w:color="auto" w:fill="FFFFFF"/>
        </w:rPr>
      </w:pPr>
    </w:p>
    <w:p w14:paraId="7507C054" w14:textId="2B251542" w:rsidR="00FF69F0" w:rsidRDefault="00FF69F0" w:rsidP="00EF31A0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[2]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RFC 2347: TFTP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Option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Extension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2021-11-1</w:t>
      </w:r>
      <w:r w:rsidR="00216F05">
        <w:rPr>
          <w:rFonts w:ascii="Open Sans" w:hAnsi="Open Sans" w:cs="Open Sans"/>
          <w:color w:val="212529"/>
          <w:shd w:val="clear" w:color="auto" w:fill="FFFFFF"/>
        </w:rPr>
        <w:t>5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9" w:history="1">
        <w:r w:rsidRPr="009114BB">
          <w:rPr>
            <w:rStyle w:val="Hyperlink"/>
            <w:rFonts w:ascii="Open Sans" w:hAnsi="Open Sans" w:cs="Open Sans"/>
            <w:shd w:val="clear" w:color="auto" w:fill="FFFFFF"/>
          </w:rPr>
          <w:t>https://datatracker.ietf.org/doc/html/rfc2347</w:t>
        </w:r>
      </w:hyperlink>
    </w:p>
    <w:p w14:paraId="4F869121" w14:textId="77777777" w:rsidR="00BB0211" w:rsidRDefault="00BB0211" w:rsidP="00EF31A0"/>
    <w:p w14:paraId="5C9251B5" w14:textId="4D511DAF" w:rsidR="00FF69F0" w:rsidRDefault="00FF69F0" w:rsidP="00ED6590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[3]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RFC 2349: TFTP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Timeout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Interval and Transfer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Size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Options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2021-11-15]. Dostupné z: </w:t>
      </w:r>
      <w:hyperlink r:id="rId10" w:history="1">
        <w:r w:rsidRPr="00BE60C1">
          <w:rPr>
            <w:rStyle w:val="Hyperlink"/>
            <w:rFonts w:ascii="Open Sans" w:hAnsi="Open Sans" w:cs="Open Sans"/>
            <w:shd w:val="clear" w:color="auto" w:fill="FFFFFF"/>
          </w:rPr>
          <w:t>https://datatracker.ietf.org/doc/html/rfc2349</w:t>
        </w:r>
      </w:hyperlink>
    </w:p>
    <w:p w14:paraId="2847DAB6" w14:textId="77777777" w:rsidR="00FF69F0" w:rsidRDefault="00FF69F0" w:rsidP="00ED6590"/>
    <w:p w14:paraId="0CF9F3A0" w14:textId="07FD1D5C" w:rsidR="00FF69F0" w:rsidRDefault="00FF69F0" w:rsidP="00ED6590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[4]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RFC 2348: TFTP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Blocksize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Option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2021-11-15]. Dostupné z: </w:t>
      </w:r>
      <w:hyperlink r:id="rId11" w:history="1">
        <w:r w:rsidRPr="00BE60C1">
          <w:rPr>
            <w:rStyle w:val="Hyperlink"/>
            <w:rFonts w:ascii="Open Sans" w:hAnsi="Open Sans" w:cs="Open Sans"/>
            <w:shd w:val="clear" w:color="auto" w:fill="FFFFFF"/>
          </w:rPr>
          <w:t>https://datatracker.ietf.org/doc/html/rfc2348</w:t>
        </w:r>
      </w:hyperlink>
    </w:p>
    <w:p w14:paraId="2215D55D" w14:textId="77777777" w:rsidR="00FF69F0" w:rsidRPr="00ED6590" w:rsidRDefault="00FF69F0" w:rsidP="00ED6590"/>
    <w:sectPr w:rsidR="00FF69F0" w:rsidRPr="00ED6590" w:rsidSect="00636868">
      <w:footerReference w:type="default" r:id="rId12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1EE9" w14:textId="77777777" w:rsidR="00514AF0" w:rsidRDefault="00514AF0" w:rsidP="00636868">
      <w:r>
        <w:separator/>
      </w:r>
    </w:p>
  </w:endnote>
  <w:endnote w:type="continuationSeparator" w:id="0">
    <w:p w14:paraId="20BCF0CC" w14:textId="77777777" w:rsidR="00514AF0" w:rsidRDefault="00514AF0" w:rsidP="0063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3802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71300" w14:textId="084E1DC1" w:rsidR="002A77AB" w:rsidRDefault="002A77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52AA9B" w14:textId="77777777" w:rsidR="002A77AB" w:rsidRDefault="002A7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5603" w14:textId="77777777" w:rsidR="00514AF0" w:rsidRDefault="00514AF0" w:rsidP="00636868">
      <w:r>
        <w:separator/>
      </w:r>
    </w:p>
  </w:footnote>
  <w:footnote w:type="continuationSeparator" w:id="0">
    <w:p w14:paraId="1814334A" w14:textId="77777777" w:rsidR="00514AF0" w:rsidRDefault="00514AF0" w:rsidP="00636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693E60"/>
    <w:multiLevelType w:val="hybridMultilevel"/>
    <w:tmpl w:val="657E2F7E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3FE6499"/>
    <w:multiLevelType w:val="hybridMultilevel"/>
    <w:tmpl w:val="2E4450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C2992"/>
    <w:multiLevelType w:val="hybridMultilevel"/>
    <w:tmpl w:val="F21808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06248"/>
    <w:rsid w:val="0002777A"/>
    <w:rsid w:val="00043674"/>
    <w:rsid w:val="00054BDA"/>
    <w:rsid w:val="00065AAD"/>
    <w:rsid w:val="00081E8E"/>
    <w:rsid w:val="00082204"/>
    <w:rsid w:val="000851A7"/>
    <w:rsid w:val="001015F4"/>
    <w:rsid w:val="00107559"/>
    <w:rsid w:val="00195621"/>
    <w:rsid w:val="001C5833"/>
    <w:rsid w:val="001E028C"/>
    <w:rsid w:val="001F2460"/>
    <w:rsid w:val="00216C12"/>
    <w:rsid w:val="00216F05"/>
    <w:rsid w:val="00242ED0"/>
    <w:rsid w:val="002465F8"/>
    <w:rsid w:val="00246D53"/>
    <w:rsid w:val="0026366C"/>
    <w:rsid w:val="00267483"/>
    <w:rsid w:val="00284296"/>
    <w:rsid w:val="002A77AB"/>
    <w:rsid w:val="002D7E07"/>
    <w:rsid w:val="002E2C3C"/>
    <w:rsid w:val="002E6ECF"/>
    <w:rsid w:val="003343B0"/>
    <w:rsid w:val="0034233B"/>
    <w:rsid w:val="0034256D"/>
    <w:rsid w:val="00352351"/>
    <w:rsid w:val="003566DE"/>
    <w:rsid w:val="00361F6F"/>
    <w:rsid w:val="00364179"/>
    <w:rsid w:val="0037053D"/>
    <w:rsid w:val="00392EEC"/>
    <w:rsid w:val="00393A1E"/>
    <w:rsid w:val="003B1BB2"/>
    <w:rsid w:val="003B4178"/>
    <w:rsid w:val="003C0755"/>
    <w:rsid w:val="003D6D79"/>
    <w:rsid w:val="003E0607"/>
    <w:rsid w:val="003F11A8"/>
    <w:rsid w:val="003F416B"/>
    <w:rsid w:val="00403999"/>
    <w:rsid w:val="00407118"/>
    <w:rsid w:val="00426084"/>
    <w:rsid w:val="00430D35"/>
    <w:rsid w:val="00433741"/>
    <w:rsid w:val="00454A97"/>
    <w:rsid w:val="004555E4"/>
    <w:rsid w:val="004608BF"/>
    <w:rsid w:val="0046197C"/>
    <w:rsid w:val="00476371"/>
    <w:rsid w:val="00483995"/>
    <w:rsid w:val="00495A56"/>
    <w:rsid w:val="004B0264"/>
    <w:rsid w:val="004B43B7"/>
    <w:rsid w:val="004D29BA"/>
    <w:rsid w:val="00511771"/>
    <w:rsid w:val="00514AF0"/>
    <w:rsid w:val="005160B2"/>
    <w:rsid w:val="0052726E"/>
    <w:rsid w:val="005437AD"/>
    <w:rsid w:val="0055344F"/>
    <w:rsid w:val="00556D25"/>
    <w:rsid w:val="005635D1"/>
    <w:rsid w:val="00566B0F"/>
    <w:rsid w:val="00566CE0"/>
    <w:rsid w:val="00581329"/>
    <w:rsid w:val="00581C2B"/>
    <w:rsid w:val="005D2353"/>
    <w:rsid w:val="005F147E"/>
    <w:rsid w:val="005F603A"/>
    <w:rsid w:val="00622A17"/>
    <w:rsid w:val="00636868"/>
    <w:rsid w:val="006427B7"/>
    <w:rsid w:val="006729E3"/>
    <w:rsid w:val="00681A6D"/>
    <w:rsid w:val="006A15C0"/>
    <w:rsid w:val="006C191F"/>
    <w:rsid w:val="006D4DE3"/>
    <w:rsid w:val="006E2D5C"/>
    <w:rsid w:val="006E2DB6"/>
    <w:rsid w:val="0071229D"/>
    <w:rsid w:val="00712B4E"/>
    <w:rsid w:val="0071331A"/>
    <w:rsid w:val="007342A5"/>
    <w:rsid w:val="00757621"/>
    <w:rsid w:val="00774B29"/>
    <w:rsid w:val="007805B8"/>
    <w:rsid w:val="00787CC5"/>
    <w:rsid w:val="00790E3F"/>
    <w:rsid w:val="007A5A64"/>
    <w:rsid w:val="007B5460"/>
    <w:rsid w:val="007B5B62"/>
    <w:rsid w:val="008023BD"/>
    <w:rsid w:val="0082033D"/>
    <w:rsid w:val="0082752A"/>
    <w:rsid w:val="00831D40"/>
    <w:rsid w:val="00837D14"/>
    <w:rsid w:val="00856225"/>
    <w:rsid w:val="00874141"/>
    <w:rsid w:val="008A6DF3"/>
    <w:rsid w:val="008B36B3"/>
    <w:rsid w:val="008C3C6F"/>
    <w:rsid w:val="008D2ED0"/>
    <w:rsid w:val="008D5D7A"/>
    <w:rsid w:val="008E03D0"/>
    <w:rsid w:val="00915FB3"/>
    <w:rsid w:val="009253E3"/>
    <w:rsid w:val="00965FC7"/>
    <w:rsid w:val="009860B7"/>
    <w:rsid w:val="009D61C5"/>
    <w:rsid w:val="009F153A"/>
    <w:rsid w:val="00A247BC"/>
    <w:rsid w:val="00A30BCE"/>
    <w:rsid w:val="00A41DF5"/>
    <w:rsid w:val="00A4549C"/>
    <w:rsid w:val="00A76E21"/>
    <w:rsid w:val="00A80F56"/>
    <w:rsid w:val="00AC2CDF"/>
    <w:rsid w:val="00AD02C5"/>
    <w:rsid w:val="00AD5E3E"/>
    <w:rsid w:val="00B04A87"/>
    <w:rsid w:val="00B11A3B"/>
    <w:rsid w:val="00B331B5"/>
    <w:rsid w:val="00B5340A"/>
    <w:rsid w:val="00B566AB"/>
    <w:rsid w:val="00B67036"/>
    <w:rsid w:val="00B81F6E"/>
    <w:rsid w:val="00B91334"/>
    <w:rsid w:val="00B949A0"/>
    <w:rsid w:val="00BB0211"/>
    <w:rsid w:val="00BB16BB"/>
    <w:rsid w:val="00BC34DC"/>
    <w:rsid w:val="00BD2FE0"/>
    <w:rsid w:val="00C2774D"/>
    <w:rsid w:val="00C46F45"/>
    <w:rsid w:val="00C72D69"/>
    <w:rsid w:val="00C76BC0"/>
    <w:rsid w:val="00C83355"/>
    <w:rsid w:val="00C86BA3"/>
    <w:rsid w:val="00CF4BE2"/>
    <w:rsid w:val="00D165B2"/>
    <w:rsid w:val="00D3676E"/>
    <w:rsid w:val="00D43170"/>
    <w:rsid w:val="00D448BE"/>
    <w:rsid w:val="00DD1EC7"/>
    <w:rsid w:val="00DE6AAD"/>
    <w:rsid w:val="00E238AE"/>
    <w:rsid w:val="00E35542"/>
    <w:rsid w:val="00E40313"/>
    <w:rsid w:val="00E54BE7"/>
    <w:rsid w:val="00E709A8"/>
    <w:rsid w:val="00E75396"/>
    <w:rsid w:val="00EB2CEE"/>
    <w:rsid w:val="00EC2B3F"/>
    <w:rsid w:val="00ED6590"/>
    <w:rsid w:val="00EF31A0"/>
    <w:rsid w:val="00F16726"/>
    <w:rsid w:val="00F45B75"/>
    <w:rsid w:val="00F617DB"/>
    <w:rsid w:val="00F65825"/>
    <w:rsid w:val="00F7180C"/>
    <w:rsid w:val="00F72999"/>
    <w:rsid w:val="00FB051C"/>
    <w:rsid w:val="00FE4B68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8851"/>
  <w15:chartTrackingRefBased/>
  <w15:docId w15:val="{61A89246-D5FD-44E3-819A-19C18F8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basedOn w:val="WW-Standardnpsmoodstavce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ListParagraph">
    <w:name w:val="List Paragraph"/>
    <w:basedOn w:val="Normal"/>
    <w:uiPriority w:val="34"/>
    <w:qFormat/>
    <w:rsid w:val="004071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197C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197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6197C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46197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6368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86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368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868"/>
    <w:rPr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B67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A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135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tracker.ietf.org/doc/html/rfc234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tatracker.ietf.org/doc/html/rfc23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23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F505-F894-42F6-9B91-0030EFA2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6</Pages>
  <Words>1096</Words>
  <Characters>6468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Tom</cp:lastModifiedBy>
  <cp:revision>25</cp:revision>
  <cp:lastPrinted>2021-04-25T18:57:00Z</cp:lastPrinted>
  <dcterms:created xsi:type="dcterms:W3CDTF">2021-04-25T09:41:00Z</dcterms:created>
  <dcterms:modified xsi:type="dcterms:W3CDTF">2021-11-15T19:18:00Z</dcterms:modified>
</cp:coreProperties>
</file>