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8"/>
          <w:szCs w:val="38"/>
        </w:rPr>
      </w:pPr>
      <w:bookmarkStart w:colFirst="0" w:colLast="0" w:name="_ezoza4xn9ma6"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8"/>
          <w:szCs w:val="38"/>
        </w:rPr>
      </w:pPr>
      <w:bookmarkStart w:colFirst="0" w:colLast="0" w:name="_fwo2gcy3p9v1"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38"/>
          <w:szCs w:val="38"/>
        </w:rPr>
      </w:pPr>
      <w:bookmarkStart w:colFirst="0" w:colLast="0" w:name="_jmaqve44c956"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b w:val="1"/>
          <w:bCs w:val="1"/>
          <w:sz w:val="38"/>
          <w:szCs w:val="38"/>
        </w:rPr>
      </w:pPr>
      <w:bookmarkStart w:colFirst="0" w:colLast="0" w:name="_asuzbx1sb6mt"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center"/>
        <w:rPr>
          <w:b w:val="1"/>
          <w:bCs w:val="1"/>
          <w:sz w:val="38"/>
          <w:szCs w:val="38"/>
        </w:rPr>
      </w:pPr>
      <w:bookmarkStart w:colFirst="0" w:colLast="0" w:name="_19qfuwjepeuc"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b w:val="1"/>
          <w:bCs w:val="1"/>
          <w:sz w:val="38"/>
          <w:szCs w:val="38"/>
        </w:rPr>
      </w:pPr>
      <w:bookmarkStart w:colFirst="0" w:colLast="0" w:name="_bl33v5n65x9x"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b w:val="1"/>
          <w:bCs w:val="1"/>
          <w:color w:val="0000ff"/>
          <w:sz w:val="38"/>
          <w:szCs w:val="38"/>
        </w:rPr>
      </w:pPr>
      <w:bookmarkStart w:colFirst="0" w:colLast="0" w:name="_frf57agomcvw" w:id="6"/>
      <w:bookmarkEnd w:id="6"/>
      <w:r w:rsidDel="00000000" w:rsidR="00000000" w:rsidRPr="00000000">
        <w:rPr>
          <w:b w:val="1"/>
          <w:bCs w:val="1"/>
          <w:color w:val="0000ff"/>
          <w:sz w:val="38"/>
          <w:szCs w:val="38"/>
          <w:rtl w:val="0"/>
        </w:rPr>
        <w:t xml:space="preserve">Competitive Intelligence Analysis </w:t>
      </w:r>
    </w:p>
    <w:p w:rsidR="00000000" w:rsidDel="00000000" w:rsidP="00000000" w:rsidRDefault="00000000" w:rsidRPr="00000000" w14:paraId="00000008">
      <w:pPr>
        <w:pStyle w:val="Heading2"/>
        <w:keepNext w:val="0"/>
        <w:keepLines w:val="0"/>
        <w:spacing w:after="80" w:lineRule="auto"/>
        <w:jc w:val="center"/>
        <w:rPr>
          <w:b w:val="1"/>
          <w:bCs w:val="1"/>
          <w:color w:val="000000"/>
          <w:sz w:val="26"/>
          <w:szCs w:val="26"/>
        </w:rPr>
      </w:pPr>
      <w:bookmarkStart w:colFirst="0" w:colLast="0" w:name="_k778ak42h3u7" w:id="7"/>
      <w:bookmarkEnd w:id="7"/>
      <w:r w:rsidDel="00000000" w:rsidR="00000000" w:rsidRPr="00000000">
        <w:rPr>
          <w:b w:val="1"/>
          <w:bCs w:val="1"/>
          <w:sz w:val="28"/>
          <w:szCs w:val="28"/>
          <w:rtl w:val="0"/>
        </w:rPr>
        <w:t xml:space="preserve">BlackRock vs. Invesco vs. State Street</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center"/>
        <w:rPr>
          <w:b w:val="1"/>
          <w:bCs w:val="1"/>
          <w:color w:val="000000"/>
          <w:sz w:val="26"/>
          <w:szCs w:val="26"/>
        </w:rPr>
      </w:pPr>
      <w:bookmarkStart w:colFirst="0" w:colLast="0" w:name="_fr5mju09a5d" w:id="8"/>
      <w:bookmarkEnd w:id="8"/>
      <w:r w:rsidDel="00000000" w:rsidR="00000000" w:rsidRPr="00000000">
        <w:rPr>
          <w:b w:val="1"/>
          <w:bCs w:val="1"/>
          <w:color w:val="000000"/>
          <w:sz w:val="26"/>
          <w:szCs w:val="26"/>
          <w:rtl w:val="0"/>
        </w:rPr>
        <w:t xml:space="preserve">By Tom Moni</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yzuhot5otdb" w:id="9"/>
      <w:bookmarkEnd w:id="9"/>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abgbtqy3bh6" w:id="10"/>
      <w:bookmarkEnd w:id="10"/>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ldx9hz9c65z" w:id="11"/>
      <w:bookmarkEnd w:id="1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vl6m12hyi88" w:id="12"/>
      <w:bookmarkEnd w:id="12"/>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zk3vrknkcnf" w:id="13"/>
      <w:bookmarkEnd w:id="1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sheau46ee" w:id="14"/>
      <w:bookmarkEnd w:id="1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3var7q05ec8" w:id="15"/>
      <w:bookmarkEnd w:id="1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ixm23wn1s6o" w:id="16"/>
      <w:bookmarkEnd w:id="16"/>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30"/>
          <w:szCs w:val="30"/>
        </w:rPr>
      </w:pPr>
      <w:bookmarkStart w:colFirst="0" w:colLast="0" w:name="_v441y8v12z0a" w:id="17"/>
      <w:bookmarkEnd w:id="17"/>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bCs w:val="1"/>
          <w:color w:val="000000"/>
          <w:sz w:val="30"/>
          <w:szCs w:val="30"/>
        </w:rPr>
      </w:pPr>
      <w:bookmarkStart w:colFirst="0" w:colLast="0" w:name="_sss5wx103qju" w:id="18"/>
      <w:bookmarkEnd w:id="18"/>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b w:val="1"/>
          <w:bCs w:val="1"/>
          <w:color w:val="000000"/>
          <w:sz w:val="30"/>
          <w:szCs w:val="30"/>
        </w:rPr>
      </w:pPr>
      <w:bookmarkStart w:colFirst="0" w:colLast="0" w:name="_149mv7wdjz75" w:id="19"/>
      <w:bookmarkEnd w:id="19"/>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30"/>
          <w:szCs w:val="30"/>
        </w:rPr>
      </w:pPr>
      <w:bookmarkStart w:colFirst="0" w:colLast="0" w:name="_alzwlhawcvpf" w:id="20"/>
      <w:bookmarkEnd w:id="20"/>
      <w:r w:rsidDel="00000000" w:rsidR="00000000" w:rsidRPr="00000000">
        <w:rPr>
          <w:b w:val="1"/>
          <w:bCs w:val="1"/>
          <w:color w:val="000000"/>
          <w:sz w:val="30"/>
          <w:szCs w:val="30"/>
          <w:rtl w:val="0"/>
        </w:rPr>
        <w:t xml:space="preserve">1.0 Executive Summary</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document provides a comprehensive competitive intelligence analysis of three leading asset management firms—BlackRock, Invesco, and State Street—based on their </w:t>
      </w:r>
      <w:r w:rsidDel="00000000" w:rsidR="00000000" w:rsidRPr="00000000">
        <w:rPr>
          <w:b w:val="1"/>
          <w:bCs w:val="1"/>
          <w:rtl w:val="0"/>
        </w:rPr>
        <w:t xml:space="preserve">2024 Form 10-K filings (BlackRock, State Street)</w:t>
      </w:r>
      <w:r w:rsidDel="00000000" w:rsidR="00000000" w:rsidRPr="00000000">
        <w:rPr>
          <w:rtl w:val="0"/>
        </w:rPr>
        <w:t xml:space="preserve"> and </w:t>
      </w:r>
      <w:r w:rsidDel="00000000" w:rsidR="00000000" w:rsidRPr="00000000">
        <w:rPr>
          <w:b w:val="1"/>
          <w:bCs w:val="1"/>
          <w:rtl w:val="0"/>
        </w:rPr>
        <w:t xml:space="preserve">2024 Annual Report (Invesco)</w:t>
      </w:r>
      <w:r w:rsidDel="00000000" w:rsidR="00000000" w:rsidRPr="00000000">
        <w:rPr>
          <w:rtl w:val="0"/>
        </w:rPr>
        <w:t xml:space="preserve">. The analysis is structured to provide senior management with actionable insights into the firms' financial performance, strategic positioning, and key differentiators. By dissecting their business models, product portfolios, and growth strategies, this report illuminates the distinct competitive moats each firm is building and their respective vulnerabilities in an evolving global market.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analysis reveals three fundamentally different strategic postures. BlackRock leverages its immense scale and technological dominance through Aladdin to aggressively expand into new growth areas like private markets. State Street, a global systemically important bank (G-SIB), doubles down on its entrenched custody and servicing business, using its State Street Alpha platform as an integrated, front-to-back solution for institutional clients. Invesco positions itself as a large, independent global manager focused on scaling its core investment capabilities and embedding next-generation technology to compete in both retail and institutional markets.</w:t>
      </w:r>
    </w:p>
    <w:p w:rsidR="00000000" w:rsidDel="00000000" w:rsidP="00000000" w:rsidRDefault="00000000" w:rsidRPr="00000000" w14:paraId="00000018">
      <w:pPr>
        <w:numPr>
          <w:ilvl w:val="0"/>
          <w:numId w:val="20"/>
        </w:numPr>
        <w:spacing w:after="0" w:afterAutospacing="0" w:before="240" w:lineRule="auto"/>
        <w:ind w:left="720" w:hanging="360"/>
        <w:jc w:val="both"/>
      </w:pPr>
      <w:r w:rsidDel="00000000" w:rsidR="00000000" w:rsidRPr="00000000">
        <w:rPr>
          <w:b w:val="1"/>
          <w:bCs w:val="1"/>
          <w:rtl w:val="0"/>
        </w:rPr>
        <w:t xml:space="preserve">Divergent Business Models:</w:t>
      </w:r>
      <w:r w:rsidDel="00000000" w:rsidR="00000000" w:rsidRPr="00000000">
        <w:rPr>
          <w:rtl w:val="0"/>
        </w:rPr>
        <w:t xml:space="preserve"> The core distinction lies in State Street's model as a custody bank versus BlackRock and Invesco's as pure-play asset managers. State Street derives a significant portion of its revenue from servicing fees and net interest income (NII), making it highly sensitive to interest rates and operational scale. BlackRock and Invesco are primarily driven by asset-based fees, exposing them more directly to market performance and fee compression.</w:t>
        <w:br w:type="textWrapping"/>
      </w:r>
    </w:p>
    <w:p w:rsidR="00000000" w:rsidDel="00000000" w:rsidP="00000000" w:rsidRDefault="00000000" w:rsidRPr="00000000" w14:paraId="00000019">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Scale as a Decisive Factor:</w:t>
      </w:r>
      <w:r w:rsidDel="00000000" w:rsidR="00000000" w:rsidRPr="00000000">
        <w:rPr>
          <w:rtl w:val="0"/>
        </w:rPr>
        <w:t xml:space="preserve"> BlackRock's approximately </w:t>
      </w:r>
      <w:r w:rsidDel="00000000" w:rsidR="00000000" w:rsidRPr="00000000">
        <w:rPr>
          <w:b w:val="1"/>
          <w:bCs w:val="1"/>
          <w:rtl w:val="0"/>
        </w:rPr>
        <w:t xml:space="preserve">$11.55 trillion</w:t>
      </w:r>
      <w:r w:rsidDel="00000000" w:rsidR="00000000" w:rsidRPr="00000000">
        <w:rPr>
          <w:rtl w:val="0"/>
        </w:rPr>
        <w:t xml:space="preserve"> in Assets Under Management (AUM) dwarfs both Invesco (</w:t>
      </w:r>
      <w:r w:rsidDel="00000000" w:rsidR="00000000" w:rsidRPr="00000000">
        <w:rPr>
          <w:b w:val="1"/>
          <w:bCs w:val="1"/>
          <w:rtl w:val="0"/>
        </w:rPr>
        <w:t xml:space="preserve">$1.85 trillion</w:t>
      </w:r>
      <w:r w:rsidDel="00000000" w:rsidR="00000000" w:rsidRPr="00000000">
        <w:rPr>
          <w:rtl w:val="0"/>
        </w:rPr>
        <w:t xml:space="preserve">) and State Street’s asset management arm, State Street Global Advisors (SSGA), at </w:t>
      </w:r>
      <w:r w:rsidDel="00000000" w:rsidR="00000000" w:rsidRPr="00000000">
        <w:rPr>
          <w:b w:val="1"/>
          <w:bCs w:val="1"/>
          <w:rtl w:val="0"/>
        </w:rPr>
        <w:t xml:space="preserve">$4.72 trillion AUM</w:t>
      </w:r>
      <w:r w:rsidDel="00000000" w:rsidR="00000000" w:rsidRPr="00000000">
        <w:rPr>
          <w:rtl w:val="0"/>
        </w:rPr>
        <w:t xml:space="preserve">. This scale provides BlackRock with significant operating leverage, brand power, and the ability to fund large-scale acquisitions to enter new markets, such as its recent moves into private markets and data analytics.</w:t>
        <w:br w:type="textWrapping"/>
      </w:r>
    </w:p>
    <w:p w:rsidR="00000000" w:rsidDel="00000000" w:rsidP="00000000" w:rsidRDefault="00000000" w:rsidRPr="00000000" w14:paraId="0000001A">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Technology as a Competitive Moat:</w:t>
      </w:r>
      <w:r w:rsidDel="00000000" w:rsidR="00000000" w:rsidRPr="00000000">
        <w:rPr>
          <w:rtl w:val="0"/>
        </w:rPr>
        <w:t xml:space="preserve"> Both BlackRock and State Street have built their strategies around sophisticated, proprietary technology platforms. BlackRock's Aladdin is not only a core operational tool but a significant revenue-generating service, creating a powerful ecosystem. State Street's Alpha platform is foundational to its integrated servicing model, creating a sticky, front-to-back solution for its institutional client base. Invesco identifies technology as a strategic priority but lacks a comparable, externally marketed platform.</w:t>
        <w:br w:type="textWrapping"/>
      </w:r>
    </w:p>
    <w:p w:rsidR="00000000" w:rsidDel="00000000" w:rsidP="00000000" w:rsidRDefault="00000000" w:rsidRPr="00000000" w14:paraId="0000001B">
      <w:pPr>
        <w:numPr>
          <w:ilvl w:val="0"/>
          <w:numId w:val="20"/>
        </w:numPr>
        <w:spacing w:after="240" w:before="0" w:beforeAutospacing="0" w:lineRule="auto"/>
        <w:ind w:left="720" w:hanging="360"/>
        <w:jc w:val="both"/>
      </w:pPr>
      <w:r w:rsidDel="00000000" w:rsidR="00000000" w:rsidRPr="00000000">
        <w:rPr>
          <w:b w:val="1"/>
          <w:bCs w:val="1"/>
          <w:rtl w:val="0"/>
        </w:rPr>
        <w:t xml:space="preserve">Regulatory Burden as a Differentiator:</w:t>
      </w:r>
      <w:r w:rsidDel="00000000" w:rsidR="00000000" w:rsidRPr="00000000">
        <w:rPr>
          <w:rtl w:val="0"/>
        </w:rPr>
        <w:t xml:space="preserve"> State Street's designation as a G-SIB and BlackRock's potential designation as a Systemically Important Financial Institution (SIFI) subject them to heightened regulatory oversight, capital, and liquidity requirements. This creates a significant compliance burden not faced by Invesco, but also reinforces their systemic importance and perceived stability.</w:t>
        <w:br w:type="textWrapping"/>
      </w:r>
    </w:p>
    <w:p w:rsidR="00000000" w:rsidDel="00000000" w:rsidP="00000000" w:rsidRDefault="00000000" w:rsidRPr="00000000" w14:paraId="0000001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Competitive Matrix at a Glance</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3.144724159083"/>
        <w:gridCol w:w="3850.311079954434"/>
        <w:gridCol w:w="3922.0560069101066"/>
        <w:tblGridChange w:id="0">
          <w:tblGrid>
            <w:gridCol w:w="1253.144724159083"/>
            <w:gridCol w:w="3850.311079954434"/>
            <w:gridCol w:w="3922.056006910106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b w:val="1"/>
                <w:bCs w:val="1"/>
                <w:rtl w:val="0"/>
              </w:rPr>
              <w:t xml:space="preserve">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b w:val="1"/>
                <w:bCs w:val="1"/>
                <w:rtl w:val="0"/>
              </w:rPr>
              <w:t xml:space="preserve">Core Business Model / Strategic Moat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b w:val="1"/>
                <w:bCs w:val="1"/>
                <w:rtl w:val="0"/>
              </w:rPr>
              <w:t xml:space="preserve">Key 2024 Strategic Initiative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BlackRock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Unmatched scale in AUM and product breadth, coupled with the industry-leading Aladdin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Aggressive expansion into private markets and data analytics via acquisitions (e.g., GIP, HPS, Preqin).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Invesco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Large, independent global investment manager with diversified products and multi-channel 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Focusing on four strategic themes: client needs, scaling capabilities, next-gen technology, financial flexibility.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State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Entrenched position as a leading global custodian integrated with State Street Alpha front-to-back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Driving productivity and operational efficiency, centered on expanding adoption and capabilities of Alpha.</w:t>
            </w:r>
          </w:p>
        </w:tc>
      </w:tr>
    </w:tbl>
    <w:p w:rsidR="00000000" w:rsidDel="00000000" w:rsidP="00000000" w:rsidRDefault="00000000" w:rsidRPr="00000000" w14:paraId="0000002B">
      <w:pPr>
        <w:spacing w:after="240" w:before="240" w:lineRule="auto"/>
        <w:jc w:val="both"/>
        <w:rPr/>
      </w:pPr>
      <w:r w:rsidDel="00000000" w:rsidR="00000000" w:rsidRPr="00000000">
        <w:rPr>
          <w:rtl w:val="0"/>
        </w:rPr>
        <w:t xml:space="preserve">This summary provides a high-level view of the competitive landscape. The following sections offer a detailed comparative analysis of the financial, strategic, and operational dimensions of each firm.</w:t>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0"/>
          <w:szCs w:val="30"/>
        </w:rPr>
      </w:pPr>
      <w:bookmarkStart w:colFirst="0" w:colLast="0" w:name="_qfjqxuans17d" w:id="21"/>
      <w:bookmarkEnd w:id="21"/>
      <w:r w:rsidDel="00000000" w:rsidR="00000000" w:rsidRPr="00000000">
        <w:rPr>
          <w:b w:val="1"/>
          <w:bCs w:val="1"/>
          <w:sz w:val="30"/>
          <w:szCs w:val="30"/>
          <w:rtl w:val="0"/>
        </w:rPr>
        <w:t xml:space="preserve">2.0 Financial Performance Analysis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A firm's financial performance is the ultimate measure of its market competitiveness and operational efficiency. This section dissects and compares the key financial metrics of BlackRock, Invesco, and State Street to reveal their relative financial health, profitability drivers, and capital management strategies. The data underscore the vast difference in scale and the distinct profitability profiles of their respective business models.</w:t>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frxa4wpxt5nm" w:id="22"/>
      <w:bookmarkEnd w:id="22"/>
      <w:r w:rsidDel="00000000" w:rsidR="00000000" w:rsidRPr="00000000">
        <w:rPr>
          <w:b w:val="1"/>
          <w:bCs w:val="1"/>
          <w:color w:val="000000"/>
          <w:sz w:val="26"/>
          <w:szCs w:val="26"/>
          <w:rtl w:val="0"/>
        </w:rPr>
        <w:t xml:space="preserve">Comparative Financial Highlights (2024)</w:t>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All figures are for the year ended 31 December 2024 (USD).</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50.5577393663903"/>
        <w:gridCol w:w="1343.725339902528"/>
        <w:gridCol w:w="2400.851918497174"/>
        <w:gridCol w:w="2330.376813257531"/>
        <w:tblGridChange w:id="0">
          <w:tblGrid>
            <w:gridCol w:w="2950.5577393663903"/>
            <w:gridCol w:w="1343.725339902528"/>
            <w:gridCol w:w="2400.851918497174"/>
            <w:gridCol w:w="2330.37681325753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b w:val="1"/>
                <w:bCs w:val="1"/>
                <w:rtl w:val="0"/>
              </w:rPr>
              <w:t xml:space="preserve">BlackRock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b w:val="1"/>
                <w:bCs w:val="1"/>
                <w:rtl w:val="0"/>
              </w:rPr>
              <w:t xml:space="preserve">Invesco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b w:val="1"/>
                <w:bCs w:val="1"/>
                <w:rtl w:val="0"/>
              </w:rPr>
              <w:t xml:space="preserve">State Street (Consolidated)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Assets Under Management (AUM)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$11,551.3 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$1,846.0 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$4,715 bn (SSGA)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Assets Under Custody/Admin (AUC/A)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$46,557 bn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Total Revenue (GAAP)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$20,407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$6,067.0 mn (operating revenues)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≈$13,040 mn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Net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$6,369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$538.0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$2,687 mn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GAAP Operating Margin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26.1%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Total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$138,615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$27,008.9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$353,240 mn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Total Shareholders' Equity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$47,431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$15,124.1 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$25,326 mn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Return on Equity (ROE)*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Return on Assets (ROA)*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0.76%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Cash Dividends Declared Per Share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$0.81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$2.90</w:t>
            </w:r>
          </w:p>
        </w:tc>
      </w:tr>
    </w:tbl>
    <w:p w:rsidR="00000000" w:rsidDel="00000000" w:rsidP="00000000" w:rsidRDefault="00000000" w:rsidRPr="00000000" w14:paraId="0000005D">
      <w:pPr>
        <w:spacing w:after="240" w:before="240" w:lineRule="auto"/>
        <w:jc w:val="both"/>
        <w:rPr>
          <w:b w:val="1"/>
          <w:bCs w:val="1"/>
          <w:color w:val="000000"/>
          <w:sz w:val="26"/>
          <w:szCs w:val="26"/>
        </w:rPr>
      </w:pPr>
      <w:r w:rsidDel="00000000" w:rsidR="00000000" w:rsidRPr="00000000">
        <w:rPr>
          <w:rtl w:val="0"/>
        </w:rPr>
        <w:t xml:space="preserve">*ROE and ROA are approximate author calculations using net income divided by year-end equity/assets, and may differ from company-reported ratios based on average balances.</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xpml4b5odcub" w:id="23"/>
      <w:bookmarkEnd w:id="23"/>
      <w:r w:rsidDel="00000000" w:rsidR="00000000" w:rsidRPr="00000000">
        <w:rPr>
          <w:b w:val="1"/>
          <w:bCs w:val="1"/>
          <w:color w:val="000000"/>
          <w:sz w:val="26"/>
          <w:szCs w:val="26"/>
          <w:rtl w:val="0"/>
        </w:rPr>
        <w:t xml:space="preserve">Revenue Mix and Profitability</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firms' revenue compositions highlight their strategic differences:</w:t>
      </w:r>
    </w:p>
    <w:p w:rsidR="00000000" w:rsidDel="00000000" w:rsidP="00000000" w:rsidRDefault="00000000" w:rsidRPr="00000000" w14:paraId="00000060">
      <w:pPr>
        <w:numPr>
          <w:ilvl w:val="0"/>
          <w:numId w:val="22"/>
        </w:numPr>
        <w:spacing w:after="0" w:afterAutospacing="0" w:before="24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is heavily reliant on </w:t>
      </w:r>
      <w:r w:rsidDel="00000000" w:rsidR="00000000" w:rsidRPr="00000000">
        <w:rPr>
          <w:b w:val="1"/>
          <w:bCs w:val="1"/>
          <w:rtl w:val="0"/>
        </w:rPr>
        <w:t xml:space="preserve">Investment Servicing fees</w:t>
      </w:r>
      <w:r w:rsidDel="00000000" w:rsidR="00000000" w:rsidRPr="00000000">
        <w:rPr>
          <w:rtl w:val="0"/>
        </w:rPr>
        <w:t xml:space="preserve"> and </w:t>
      </w:r>
      <w:r w:rsidDel="00000000" w:rsidR="00000000" w:rsidRPr="00000000">
        <w:rPr>
          <w:b w:val="1"/>
          <w:bCs w:val="1"/>
          <w:rtl w:val="0"/>
        </w:rPr>
        <w:t xml:space="preserve">Net Interest Income (NII)</w:t>
      </w:r>
      <w:r w:rsidDel="00000000" w:rsidR="00000000" w:rsidRPr="00000000">
        <w:rPr>
          <w:rtl w:val="0"/>
        </w:rPr>
        <w:t xml:space="preserve">, which together constitute the majority of its total revenue. This makes its earnings highly sensitive to interest rate levels, balance sheet management, and transaction volumes in its custody and markets businesses.</w:t>
        <w:br w:type="textWrapping"/>
      </w:r>
      <w:r w:rsidDel="00000000" w:rsidR="00000000" w:rsidRPr="00000000">
        <w:rPr>
          <w:rtl w:val="0"/>
        </w:rPr>
      </w:r>
    </w:p>
    <w:p w:rsidR="00000000" w:rsidDel="00000000" w:rsidP="00000000" w:rsidRDefault="00000000" w:rsidRPr="00000000" w14:paraId="00000061">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and </w:t>
      </w:r>
      <w:r w:rsidDel="00000000" w:rsidR="00000000" w:rsidRPr="00000000">
        <w:rPr>
          <w:b w:val="1"/>
          <w:bCs w:val="1"/>
          <w:rtl w:val="0"/>
        </w:rPr>
        <w:t xml:space="preserve">Invesco</w:t>
      </w:r>
      <w:r w:rsidDel="00000000" w:rsidR="00000000" w:rsidRPr="00000000">
        <w:rPr>
          <w:rtl w:val="0"/>
        </w:rPr>
        <w:t xml:space="preserve"> derive the bulk of their revenues from investment management and advisory fees on AUM. BlackRock's massive scale allows it to generate over $20 billion in total revenue and deliver a GAAP operating margin of </w:t>
      </w:r>
      <w:r w:rsidDel="00000000" w:rsidR="00000000" w:rsidRPr="00000000">
        <w:rPr>
          <w:b w:val="1"/>
          <w:bCs w:val="1"/>
          <w:rtl w:val="0"/>
        </w:rPr>
        <w:t xml:space="preserve">37.1%</w:t>
      </w:r>
      <w:r w:rsidDel="00000000" w:rsidR="00000000" w:rsidRPr="00000000">
        <w:rPr>
          <w:rtl w:val="0"/>
        </w:rPr>
        <w:t xml:space="preserve">, materially higher than peers and reflecting strong operating leverage.</w:t>
        <w:br w:type="textWrapping"/>
      </w:r>
      <w:r w:rsidDel="00000000" w:rsidR="00000000" w:rsidRPr="00000000">
        <w:rPr>
          <w:rtl w:val="0"/>
        </w:rPr>
      </w:r>
    </w:p>
    <w:p w:rsidR="00000000" w:rsidDel="00000000" w:rsidP="00000000" w:rsidRDefault="00000000" w:rsidRPr="00000000" w14:paraId="00000062">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follows with a solid </w:t>
      </w:r>
      <w:r w:rsidDel="00000000" w:rsidR="00000000" w:rsidRPr="00000000">
        <w:rPr>
          <w:b w:val="1"/>
          <w:bCs w:val="1"/>
          <w:rtl w:val="0"/>
        </w:rPr>
        <w:t xml:space="preserve">26.1%</w:t>
      </w:r>
      <w:r w:rsidDel="00000000" w:rsidR="00000000" w:rsidRPr="00000000">
        <w:rPr>
          <w:rtl w:val="0"/>
        </w:rPr>
        <w:t xml:space="preserve"> operating margin, supported by the scale of its servicing and markets operations.</w:t>
        <w:br w:type="textWrapping"/>
      </w:r>
      <w:r w:rsidDel="00000000" w:rsidR="00000000" w:rsidRPr="00000000">
        <w:rPr>
          <w:rtl w:val="0"/>
        </w:rPr>
      </w:r>
    </w:p>
    <w:p w:rsidR="00000000" w:rsidDel="00000000" w:rsidP="00000000" w:rsidRDefault="00000000" w:rsidRPr="00000000" w14:paraId="00000063">
      <w:pPr>
        <w:numPr>
          <w:ilvl w:val="0"/>
          <w:numId w:val="22"/>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operating at a smaller scale, reports an operating margin of </w:t>
      </w:r>
      <w:r w:rsidDel="00000000" w:rsidR="00000000" w:rsidRPr="00000000">
        <w:rPr>
          <w:b w:val="1"/>
          <w:bCs w:val="1"/>
          <w:rtl w:val="0"/>
        </w:rPr>
        <w:t xml:space="preserve">13.7%</w:t>
      </w:r>
      <w:r w:rsidDel="00000000" w:rsidR="00000000" w:rsidRPr="00000000">
        <w:rPr>
          <w:rtl w:val="0"/>
        </w:rPr>
        <w:t xml:space="preserve">. This materially lower margin highlights its greater exposure to fee and margin pressure relative to its cost base, despite strong progress in expanding higher-margin capabilities.</w:t>
        <w:br w:type="textWrapping"/>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ix5ucxcvb6w0" w:id="24"/>
      <w:bookmarkEnd w:id="24"/>
      <w:r w:rsidDel="00000000" w:rsidR="00000000" w:rsidRPr="00000000">
        <w:rPr>
          <w:b w:val="1"/>
          <w:bCs w:val="1"/>
          <w:color w:val="000000"/>
          <w:sz w:val="26"/>
          <w:szCs w:val="26"/>
          <w:rtl w:val="0"/>
        </w:rPr>
        <w:t xml:space="preserve">Capital Allocation Strategies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Each firm's approach to capital allocation reflects its strategic priorities:</w:t>
      </w:r>
    </w:p>
    <w:p w:rsidR="00000000" w:rsidDel="00000000" w:rsidP="00000000" w:rsidRDefault="00000000" w:rsidRPr="00000000" w14:paraId="00000066">
      <w:pPr>
        <w:numPr>
          <w:ilvl w:val="0"/>
          <w:numId w:val="29"/>
        </w:numPr>
        <w:spacing w:after="0" w:before="0" w:line="240" w:lineRule="auto"/>
        <w:ind w:left="720" w:hanging="360"/>
        <w:jc w:val="both"/>
        <w:rPr>
          <w:u w:val="none"/>
        </w:rPr>
      </w:pPr>
      <w:r w:rsidDel="00000000" w:rsidR="00000000" w:rsidRPr="00000000">
        <w:rPr>
          <w:b w:val="1"/>
          <w:bCs w:val="1"/>
          <w:rtl w:val="0"/>
        </w:rPr>
        <w:t xml:space="preserve">BlackRock</w:t>
      </w:r>
      <w:r w:rsidDel="00000000" w:rsidR="00000000" w:rsidRPr="00000000">
        <w:rPr>
          <w:rtl w:val="0"/>
        </w:rPr>
        <w:t xml:space="preserve"> has used its financial strength to fund large, transformative M&amp;A—most notably the announced acquisitions of Global Infrastructure Partners (GIP), data provider Preqin and credit manager HPS—while still returning significant capital to shareholders via dividends (</w:t>
      </w:r>
      <w:r w:rsidDel="00000000" w:rsidR="00000000" w:rsidRPr="00000000">
        <w:rPr>
          <w:b w:val="1"/>
          <w:bCs w:val="1"/>
          <w:rtl w:val="0"/>
        </w:rPr>
        <w:t xml:space="preserve">$20.40 per share</w:t>
      </w:r>
      <w:r w:rsidDel="00000000" w:rsidR="00000000" w:rsidRPr="00000000">
        <w:rPr>
          <w:rtl w:val="0"/>
        </w:rPr>
        <w:t xml:space="preserve">) and share repurchases.</w:t>
      </w:r>
    </w:p>
    <w:p w:rsidR="00000000" w:rsidDel="00000000" w:rsidP="00000000" w:rsidRDefault="00000000" w:rsidRPr="00000000" w14:paraId="00000067">
      <w:pPr>
        <w:spacing w:after="0" w:before="0" w:line="240" w:lineRule="auto"/>
        <w:ind w:left="0" w:firstLine="0"/>
        <w:jc w:val="both"/>
        <w:rPr>
          <w:sz w:val="10"/>
          <w:szCs w:val="10"/>
        </w:rPr>
      </w:pPr>
      <w:r w:rsidDel="00000000" w:rsidR="00000000" w:rsidRPr="00000000">
        <w:rPr>
          <w:rtl w:val="0"/>
        </w:rPr>
      </w:r>
    </w:p>
    <w:p w:rsidR="00000000" w:rsidDel="00000000" w:rsidP="00000000" w:rsidRDefault="00000000" w:rsidRPr="00000000" w14:paraId="00000068">
      <w:pPr>
        <w:spacing w:after="0" w:before="0" w:line="240" w:lineRule="auto"/>
        <w:ind w:left="720" w:firstLine="0"/>
        <w:jc w:val="both"/>
        <w:rPr>
          <w:sz w:val="2"/>
          <w:szCs w:val="2"/>
        </w:rPr>
      </w:pPr>
      <w:r w:rsidDel="00000000" w:rsidR="00000000" w:rsidRPr="00000000">
        <w:rPr>
          <w:rtl w:val="0"/>
        </w:rPr>
      </w:r>
    </w:p>
    <w:p w:rsidR="00000000" w:rsidDel="00000000" w:rsidP="00000000" w:rsidRDefault="00000000" w:rsidRPr="00000000" w14:paraId="00000069">
      <w:pPr>
        <w:numPr>
          <w:ilvl w:val="0"/>
          <w:numId w:val="27"/>
        </w:numPr>
        <w:spacing w:after="0" w:afterAutospacing="0" w:before="0" w:lineRule="auto"/>
        <w:ind w:left="720" w:hanging="360"/>
        <w:jc w:val="both"/>
        <w:rPr>
          <w:u w:val="none"/>
        </w:rPr>
      </w:pPr>
      <w:r w:rsidDel="00000000" w:rsidR="00000000" w:rsidRPr="00000000">
        <w:rPr>
          <w:b w:val="1"/>
          <w:bCs w:val="1"/>
          <w:rtl w:val="0"/>
        </w:rPr>
        <w:t xml:space="preserve">State Street</w:t>
      </w:r>
      <w:r w:rsidDel="00000000" w:rsidR="00000000" w:rsidRPr="00000000">
        <w:rPr>
          <w:rtl w:val="0"/>
        </w:rPr>
        <w:t xml:space="preserve"> has focused on organic growth and capital management within a stringent G-SIB regulatory framework. This includes careful issuance and redemption of preferred stock, ongoing optimization of its balance sheet, and a consistent dividend (</w:t>
      </w:r>
      <w:r w:rsidDel="00000000" w:rsidR="00000000" w:rsidRPr="00000000">
        <w:rPr>
          <w:b w:val="1"/>
          <w:bCs w:val="1"/>
          <w:rtl w:val="0"/>
        </w:rPr>
        <w:t xml:space="preserve">$2.90 per share</w:t>
      </w:r>
      <w:r w:rsidDel="00000000" w:rsidR="00000000" w:rsidRPr="00000000">
        <w:rPr>
          <w:rtl w:val="0"/>
        </w:rPr>
        <w:t xml:space="preserve">).</w:t>
      </w:r>
    </w:p>
    <w:p w:rsidR="00000000" w:rsidDel="00000000" w:rsidP="00000000" w:rsidRDefault="00000000" w:rsidRPr="00000000" w14:paraId="0000006A">
      <w:pPr>
        <w:numPr>
          <w:ilvl w:val="0"/>
          <w:numId w:val="29"/>
        </w:numPr>
        <w:spacing w:after="240" w:before="0" w:beforeAutospacing="0" w:lineRule="auto"/>
        <w:ind w:left="720" w:hanging="360"/>
        <w:jc w:val="both"/>
        <w:rPr>
          <w:u w:val="none"/>
        </w:rPr>
      </w:pPr>
      <w:r w:rsidDel="00000000" w:rsidR="00000000" w:rsidRPr="00000000">
        <w:rPr>
          <w:b w:val="1"/>
          <w:bCs w:val="1"/>
          <w:rtl w:val="0"/>
        </w:rPr>
        <w:t xml:space="preserve">Invesco</w:t>
      </w:r>
      <w:r w:rsidDel="00000000" w:rsidR="00000000" w:rsidRPr="00000000">
        <w:rPr>
          <w:rtl w:val="0"/>
        </w:rPr>
        <w:t xml:space="preserve"> balances investment in growth initiatives with shareholder returns via dividends (</w:t>
      </w:r>
      <w:r w:rsidDel="00000000" w:rsidR="00000000" w:rsidRPr="00000000">
        <w:rPr>
          <w:b w:val="1"/>
          <w:bCs w:val="1"/>
          <w:rtl w:val="0"/>
        </w:rPr>
        <w:t xml:space="preserve">$0.81 per share</w:t>
      </w:r>
      <w:r w:rsidDel="00000000" w:rsidR="00000000" w:rsidRPr="00000000">
        <w:rPr>
          <w:rtl w:val="0"/>
        </w:rPr>
        <w:t xml:space="preserve">) and regular but modest share repurchases, while prioritizing operating leverage and balance-sheet flexibility.</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This analysis of financial metrics provides a clear quantitative picture of each firm's standing and operational focus. The following section examines the underlying business models that produce these results.</w:t>
      </w:r>
    </w:p>
    <w:p w:rsidR="00000000" w:rsidDel="00000000" w:rsidP="00000000" w:rsidRDefault="00000000" w:rsidRPr="00000000" w14:paraId="0000006C">
      <w:pPr>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both"/>
        <w:rPr>
          <w:b w:val="1"/>
          <w:bCs w:val="1"/>
          <w:sz w:val="30"/>
          <w:szCs w:val="30"/>
        </w:rPr>
      </w:pPr>
      <w:bookmarkStart w:colFirst="0" w:colLast="0" w:name="_mjjthw2unwzy" w:id="25"/>
      <w:bookmarkEnd w:id="25"/>
      <w:r w:rsidDel="00000000" w:rsidR="00000000" w:rsidRPr="00000000">
        <w:rPr>
          <w:b w:val="1"/>
          <w:bCs w:val="1"/>
          <w:sz w:val="30"/>
          <w:szCs w:val="30"/>
          <w:rtl w:val="0"/>
        </w:rPr>
        <w:t xml:space="preserve">3.0 Business Model &amp; Strategy Evaluation</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A firm's business model is the blueprint for how it creates, delivers, and captures value. This section evaluates the core business segments, strategic focus, and competitive advantages of each firm.</w:t>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k0lbqek48los" w:id="26"/>
      <w:bookmarkEnd w:id="26"/>
      <w:r w:rsidDel="00000000" w:rsidR="00000000" w:rsidRPr="00000000">
        <w:rPr>
          <w:b w:val="1"/>
          <w:bCs w:val="1"/>
          <w:color w:val="000000"/>
          <w:sz w:val="26"/>
          <w:szCs w:val="26"/>
          <w:rtl w:val="0"/>
        </w:rPr>
        <w:t xml:space="preserve">Primary Business Segments</w:t>
      </w:r>
    </w:p>
    <w:p w:rsidR="00000000" w:rsidDel="00000000" w:rsidP="00000000" w:rsidRDefault="00000000" w:rsidRPr="00000000" w14:paraId="00000070">
      <w:pPr>
        <w:numPr>
          <w:ilvl w:val="0"/>
          <w:numId w:val="1"/>
        </w:numPr>
        <w:spacing w:after="240" w:before="24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operates two primary, symbiotic lines of business:</w:t>
      </w:r>
    </w:p>
    <w:p w:rsidR="00000000" w:rsidDel="00000000" w:rsidP="00000000" w:rsidRDefault="00000000" w:rsidRPr="00000000" w14:paraId="00000071">
      <w:pPr>
        <w:numPr>
          <w:ilvl w:val="1"/>
          <w:numId w:val="1"/>
        </w:numPr>
        <w:spacing w:after="0" w:before="240" w:lineRule="auto"/>
        <w:ind w:left="1440" w:hanging="360"/>
        <w:jc w:val="both"/>
      </w:pPr>
      <w:r w:rsidDel="00000000" w:rsidR="00000000" w:rsidRPr="00000000">
        <w:rPr>
          <w:b w:val="1"/>
          <w:bCs w:val="1"/>
          <w:rtl w:val="0"/>
        </w:rPr>
        <w:t xml:space="preserve">Investment Servicing</w:t>
      </w:r>
      <w:r w:rsidDel="00000000" w:rsidR="00000000" w:rsidRPr="00000000">
        <w:rPr>
          <w:rtl w:val="0"/>
        </w:rPr>
        <w:t xml:space="preserve"> (custody, fund accounting, administration, FX, securities lending, collateral, and related services) supporting </w:t>
      </w:r>
      <w:r w:rsidDel="00000000" w:rsidR="00000000" w:rsidRPr="00000000">
        <w:rPr>
          <w:b w:val="1"/>
          <w:bCs w:val="1"/>
          <w:rtl w:val="0"/>
        </w:rPr>
        <w:t xml:space="preserve">$46.6 trillion AUC/A</w:t>
      </w:r>
      <w:r w:rsidDel="00000000" w:rsidR="00000000" w:rsidRPr="00000000">
        <w:rPr>
          <w:rtl w:val="0"/>
        </w:rPr>
        <w:t xml:space="preserve">.</w:t>
      </w:r>
    </w:p>
    <w:p w:rsidR="00000000" w:rsidDel="00000000" w:rsidP="00000000" w:rsidRDefault="00000000" w:rsidRPr="00000000" w14:paraId="00000072">
      <w:pPr>
        <w:spacing w:after="0" w:before="0" w:lineRule="auto"/>
        <w:ind w:left="0" w:firstLine="0"/>
        <w:jc w:val="both"/>
        <w:rPr>
          <w:sz w:val="10"/>
          <w:szCs w:val="10"/>
        </w:rPr>
      </w:pPr>
      <w:r w:rsidDel="00000000" w:rsidR="00000000" w:rsidRPr="00000000">
        <w:rPr>
          <w:rtl w:val="0"/>
        </w:rPr>
      </w:r>
    </w:p>
    <w:p w:rsidR="00000000" w:rsidDel="00000000" w:rsidP="00000000" w:rsidRDefault="00000000" w:rsidRPr="00000000" w14:paraId="00000073">
      <w:pPr>
        <w:numPr>
          <w:ilvl w:val="1"/>
          <w:numId w:val="1"/>
        </w:numPr>
        <w:spacing w:after="240" w:before="0" w:lineRule="auto"/>
        <w:ind w:left="1440" w:hanging="360"/>
        <w:jc w:val="both"/>
      </w:pPr>
      <w:r w:rsidDel="00000000" w:rsidR="00000000" w:rsidRPr="00000000">
        <w:rPr>
          <w:b w:val="1"/>
          <w:bCs w:val="1"/>
          <w:rtl w:val="0"/>
        </w:rPr>
        <w:t xml:space="preserve">Investment Management</w:t>
      </w:r>
      <w:r w:rsidDel="00000000" w:rsidR="00000000" w:rsidRPr="00000000">
        <w:rPr>
          <w:rtl w:val="0"/>
        </w:rPr>
        <w:t xml:space="preserve"> via State Street Global Advisors (SSGA), managing </w:t>
      </w:r>
      <w:r w:rsidDel="00000000" w:rsidR="00000000" w:rsidRPr="00000000">
        <w:rPr>
          <w:b w:val="1"/>
          <w:bCs w:val="1"/>
          <w:rtl w:val="0"/>
        </w:rPr>
        <w:t xml:space="preserve">$4.72 trillion AUM</w:t>
      </w:r>
      <w:r w:rsidDel="00000000" w:rsidR="00000000" w:rsidRPr="00000000">
        <w:rPr>
          <w:rtl w:val="0"/>
        </w:rPr>
        <w:t xml:space="preserve"> across index, ETFs (SPDR) and active strategies.</w:t>
      </w:r>
    </w:p>
    <w:p w:rsidR="00000000" w:rsidDel="00000000" w:rsidP="00000000" w:rsidRDefault="00000000" w:rsidRPr="00000000" w14:paraId="00000074">
      <w:pPr>
        <w:numPr>
          <w:ilvl w:val="0"/>
          <w:numId w:val="1"/>
        </w:numPr>
        <w:spacing w:after="0" w:afterAutospacing="0" w:before="240" w:lineRule="auto"/>
        <w:ind w:left="720" w:hanging="360"/>
        <w:jc w:val="both"/>
      </w:pPr>
      <w:r w:rsidDel="00000000" w:rsidR="00000000" w:rsidRPr="00000000">
        <w:rPr>
          <w:rtl w:val="0"/>
        </w:rPr>
        <w:t xml:space="preserve">Investment Servicing provides a deep institutional client base for cross-selling SSGA products, while SSGA enhances the relevance of its servicing offering.</w:t>
        <w:br w:type="textWrapping"/>
      </w:r>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organizes its business around </w:t>
      </w:r>
      <w:r w:rsidDel="00000000" w:rsidR="00000000" w:rsidRPr="00000000">
        <w:rPr>
          <w:b w:val="1"/>
          <w:bCs w:val="1"/>
          <w:rtl w:val="0"/>
        </w:rPr>
        <w:t xml:space="preserve">client types</w:t>
      </w:r>
      <w:r w:rsidDel="00000000" w:rsidR="00000000" w:rsidRPr="00000000">
        <w:rPr>
          <w:rtl w:val="0"/>
        </w:rPr>
        <w:t xml:space="preserve">—Retail, ETFs (iShares) and Institutional—rather than purely by product. This client-centric model supports tailored product design, pricing and distribution strategies.</w:t>
        <w:br w:type="textWrapping"/>
      </w:r>
      <w:r w:rsidDel="00000000" w:rsidR="00000000" w:rsidRPr="00000000">
        <w:rPr>
          <w:rtl w:val="0"/>
        </w:rPr>
      </w:r>
    </w:p>
    <w:p w:rsidR="00000000" w:rsidDel="00000000" w:rsidP="00000000" w:rsidRDefault="00000000" w:rsidRPr="00000000" w14:paraId="00000076">
      <w:pPr>
        <w:numPr>
          <w:ilvl w:val="0"/>
          <w:numId w:val="1"/>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reports its business as a unified </w:t>
      </w:r>
      <w:r w:rsidDel="00000000" w:rsidR="00000000" w:rsidRPr="00000000">
        <w:rPr>
          <w:b w:val="1"/>
          <w:bCs w:val="1"/>
          <w:rtl w:val="0"/>
        </w:rPr>
        <w:t xml:space="preserve">investment management</w:t>
      </w:r>
      <w:r w:rsidDel="00000000" w:rsidR="00000000" w:rsidRPr="00000000">
        <w:rPr>
          <w:rtl w:val="0"/>
        </w:rPr>
        <w:t xml:space="preserve"> segment, emphasizing integrated global investment capabilities and diversified distribution rather than combining balance-sheet-intensive services (like custody) with asset management.</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State Street’s custody-bank plus asset-manager model is structurally distinct from BlackRock and Invesco’s more traditional AUM-driven models.</w:t>
      </w:r>
    </w:p>
    <w:p w:rsidR="00000000" w:rsidDel="00000000" w:rsidP="00000000" w:rsidRDefault="00000000" w:rsidRPr="00000000" w14:paraId="00000078">
      <w:pPr>
        <w:pStyle w:val="Heading3"/>
        <w:keepNext w:val="0"/>
        <w:keepLines w:val="0"/>
        <w:spacing w:before="280" w:lineRule="auto"/>
        <w:jc w:val="both"/>
        <w:rPr>
          <w:b w:val="1"/>
          <w:bCs w:val="1"/>
          <w:color w:val="000000"/>
          <w:sz w:val="26"/>
          <w:szCs w:val="26"/>
        </w:rPr>
      </w:pPr>
      <w:bookmarkStart w:colFirst="0" w:colLast="0" w:name="_jzdkf9qjvlwa" w:id="27"/>
      <w:bookmarkEnd w:id="27"/>
      <w:r w:rsidDel="00000000" w:rsidR="00000000" w:rsidRPr="00000000">
        <w:rPr>
          <w:b w:val="1"/>
          <w:bCs w:val="1"/>
          <w:color w:val="000000"/>
          <w:sz w:val="26"/>
          <w:szCs w:val="26"/>
          <w:rtl w:val="0"/>
        </w:rPr>
        <w:t xml:space="preserve">Strategic Balance: Active vs. Passive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 balance between active and passive strategies is a key strategic differentiator:</w:t>
      </w:r>
    </w:p>
    <w:p w:rsidR="00000000" w:rsidDel="00000000" w:rsidP="00000000" w:rsidRDefault="00000000" w:rsidRPr="00000000" w14:paraId="0000007A">
      <w:pPr>
        <w:numPr>
          <w:ilvl w:val="0"/>
          <w:numId w:val="28"/>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is dominant in both active and passive:</w:t>
        <w:br w:type="textWrapping"/>
      </w:r>
      <w:r w:rsidDel="00000000" w:rsidR="00000000" w:rsidRPr="00000000">
        <w:rPr>
          <w:rtl w:val="0"/>
        </w:rPr>
      </w:r>
    </w:p>
    <w:p w:rsidR="00000000" w:rsidDel="00000000" w:rsidP="00000000" w:rsidRDefault="00000000" w:rsidRPr="00000000" w14:paraId="0000007B">
      <w:pPr>
        <w:numPr>
          <w:ilvl w:val="1"/>
          <w:numId w:val="28"/>
        </w:numPr>
        <w:spacing w:after="0" w:before="0" w:lineRule="auto"/>
        <w:ind w:left="1440" w:hanging="360"/>
        <w:jc w:val="both"/>
      </w:pPr>
      <w:r w:rsidDel="00000000" w:rsidR="00000000" w:rsidRPr="00000000">
        <w:rPr>
          <w:b w:val="1"/>
          <w:bCs w:val="1"/>
          <w:rtl w:val="0"/>
        </w:rPr>
        <w:t xml:space="preserve">ETFs:</w:t>
      </w:r>
      <w:r w:rsidDel="00000000" w:rsidR="00000000" w:rsidRPr="00000000">
        <w:rPr>
          <w:rtl w:val="0"/>
        </w:rPr>
        <w:t xml:space="preserve"> Approx. </w:t>
      </w:r>
      <w:r w:rsidDel="00000000" w:rsidR="00000000" w:rsidRPr="00000000">
        <w:rPr>
          <w:b w:val="1"/>
          <w:bCs w:val="1"/>
          <w:rtl w:val="0"/>
        </w:rPr>
        <w:t xml:space="preserve">$4.23 trillion</w:t>
      </w:r>
      <w:r w:rsidDel="00000000" w:rsidR="00000000" w:rsidRPr="00000000">
        <w:rPr>
          <w:rtl w:val="0"/>
        </w:rPr>
        <w:t xml:space="preserve"> in ETF AUM, primarily under the iShares brand.</w:t>
      </w:r>
    </w:p>
    <w:p w:rsidR="00000000" w:rsidDel="00000000" w:rsidP="00000000" w:rsidRDefault="00000000" w:rsidRPr="00000000" w14:paraId="0000007C">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7D">
      <w:pPr>
        <w:numPr>
          <w:ilvl w:val="1"/>
          <w:numId w:val="28"/>
        </w:numPr>
        <w:spacing w:after="0" w:before="0" w:lineRule="auto"/>
        <w:ind w:left="1440" w:hanging="360"/>
        <w:jc w:val="both"/>
      </w:pPr>
      <w:r w:rsidDel="00000000" w:rsidR="00000000" w:rsidRPr="00000000">
        <w:rPr>
          <w:b w:val="1"/>
          <w:bCs w:val="1"/>
          <w:rtl w:val="0"/>
        </w:rPr>
        <w:t xml:space="preserve">Institutional index:</w:t>
      </w:r>
      <w:r w:rsidDel="00000000" w:rsidR="00000000" w:rsidRPr="00000000">
        <w:rPr>
          <w:rtl w:val="0"/>
        </w:rPr>
        <w:t xml:space="preserve"> About </w:t>
      </w:r>
      <w:r w:rsidDel="00000000" w:rsidR="00000000" w:rsidRPr="00000000">
        <w:rPr>
          <w:b w:val="1"/>
          <w:bCs w:val="1"/>
          <w:rtl w:val="0"/>
        </w:rPr>
        <w:t xml:space="preserve">$3.2 trillion</w:t>
      </w:r>
      <w:r w:rsidDel="00000000" w:rsidR="00000000" w:rsidRPr="00000000">
        <w:rPr>
          <w:rtl w:val="0"/>
        </w:rPr>
        <w:t xml:space="preserve"> in institutional index AUM.</w:t>
      </w:r>
    </w:p>
    <w:p w:rsidR="00000000" w:rsidDel="00000000" w:rsidP="00000000" w:rsidRDefault="00000000" w:rsidRPr="00000000" w14:paraId="0000007E">
      <w:pPr>
        <w:spacing w:after="0" w:before="0" w:lineRule="auto"/>
        <w:ind w:left="0" w:firstLine="0"/>
        <w:jc w:val="both"/>
        <w:rPr>
          <w:sz w:val="10"/>
          <w:szCs w:val="10"/>
        </w:rPr>
      </w:pPr>
      <w:r w:rsidDel="00000000" w:rsidR="00000000" w:rsidRPr="00000000">
        <w:rPr>
          <w:rtl w:val="0"/>
        </w:rPr>
      </w:r>
    </w:p>
    <w:p w:rsidR="00000000" w:rsidDel="00000000" w:rsidP="00000000" w:rsidRDefault="00000000" w:rsidRPr="00000000" w14:paraId="0000007F">
      <w:pPr>
        <w:numPr>
          <w:ilvl w:val="1"/>
          <w:numId w:val="28"/>
        </w:numPr>
        <w:spacing w:after="240" w:before="0" w:lineRule="auto"/>
        <w:ind w:left="1440" w:hanging="360"/>
        <w:jc w:val="both"/>
      </w:pPr>
      <w:r w:rsidDel="00000000" w:rsidR="00000000" w:rsidRPr="00000000">
        <w:rPr>
          <w:b w:val="1"/>
          <w:bCs w:val="1"/>
          <w:rtl w:val="0"/>
        </w:rPr>
        <w:t xml:space="preserve">Institutional active:</w:t>
      </w:r>
      <w:r w:rsidDel="00000000" w:rsidR="00000000" w:rsidRPr="00000000">
        <w:rPr>
          <w:rtl w:val="0"/>
        </w:rPr>
        <w:t xml:space="preserve"> Over </w:t>
      </w:r>
      <w:r w:rsidDel="00000000" w:rsidR="00000000" w:rsidRPr="00000000">
        <w:rPr>
          <w:b w:val="1"/>
          <w:bCs w:val="1"/>
          <w:rtl w:val="0"/>
        </w:rPr>
        <w:t xml:space="preserve">$2.1 trillion</w:t>
      </w:r>
      <w:r w:rsidDel="00000000" w:rsidR="00000000" w:rsidRPr="00000000">
        <w:rPr>
          <w:rtl w:val="0"/>
        </w:rPr>
        <w:t xml:space="preserve"> in institutional active strategies.</w:t>
        <w:br w:type="textWrapping"/>
      </w:r>
      <w:r w:rsidDel="00000000" w:rsidR="00000000" w:rsidRPr="00000000">
        <w:rPr>
          <w:rtl w:val="0"/>
        </w:rPr>
      </w:r>
    </w:p>
    <w:p w:rsidR="00000000" w:rsidDel="00000000" w:rsidP="00000000" w:rsidRDefault="00000000" w:rsidRPr="00000000" w14:paraId="00000080">
      <w:pPr>
        <w:numPr>
          <w:ilvl w:val="0"/>
          <w:numId w:val="28"/>
        </w:numPr>
        <w:spacing w:after="0" w:afterAutospacing="0" w:before="240" w:lineRule="auto"/>
        <w:ind w:left="720" w:hanging="360"/>
        <w:jc w:val="both"/>
      </w:pPr>
      <w:r w:rsidDel="00000000" w:rsidR="00000000" w:rsidRPr="00000000">
        <w:rPr>
          <w:b w:val="1"/>
          <w:bCs w:val="1"/>
          <w:rtl w:val="0"/>
        </w:rPr>
        <w:t xml:space="preserve">State Street (SSGA)</w:t>
      </w:r>
      <w:r w:rsidDel="00000000" w:rsidR="00000000" w:rsidRPr="00000000">
        <w:rPr>
          <w:rtl w:val="0"/>
        </w:rPr>
        <w:t xml:space="preserve"> is heavily skewed toward passive:</w:t>
        <w:br w:type="textWrapping"/>
      </w:r>
      <w:r w:rsidDel="00000000" w:rsidR="00000000" w:rsidRPr="00000000">
        <w:rPr>
          <w:rtl w:val="0"/>
        </w:rPr>
      </w:r>
    </w:p>
    <w:p w:rsidR="00000000" w:rsidDel="00000000" w:rsidP="00000000" w:rsidRDefault="00000000" w:rsidRPr="00000000" w14:paraId="00000081">
      <w:pPr>
        <w:numPr>
          <w:ilvl w:val="1"/>
          <w:numId w:val="28"/>
        </w:numPr>
        <w:spacing w:after="0" w:before="0" w:lineRule="auto"/>
        <w:ind w:left="1440" w:hanging="360"/>
        <w:jc w:val="both"/>
      </w:pPr>
      <w:r w:rsidDel="00000000" w:rsidR="00000000" w:rsidRPr="00000000">
        <w:rPr>
          <w:rtl w:val="0"/>
        </w:rPr>
        <w:t xml:space="preserve">Total AUM of </w:t>
      </w:r>
      <w:r w:rsidDel="00000000" w:rsidR="00000000" w:rsidRPr="00000000">
        <w:rPr>
          <w:b w:val="1"/>
          <w:bCs w:val="1"/>
          <w:rtl w:val="0"/>
        </w:rPr>
        <w:t xml:space="preserve">$4.72 trillion</w:t>
      </w:r>
      <w:r w:rsidDel="00000000" w:rsidR="00000000" w:rsidRPr="00000000">
        <w:rPr>
          <w:rtl w:val="0"/>
        </w:rPr>
        <w:t xml:space="preserve">, with the majority in indexed equity, fixed income and ETF products.</w:t>
      </w:r>
    </w:p>
    <w:p w:rsidR="00000000" w:rsidDel="00000000" w:rsidP="00000000" w:rsidRDefault="00000000" w:rsidRPr="00000000" w14:paraId="00000082">
      <w:pPr>
        <w:spacing w:after="0" w:before="0" w:lineRule="auto"/>
        <w:ind w:left="0" w:firstLine="0"/>
        <w:jc w:val="both"/>
        <w:rPr>
          <w:sz w:val="10"/>
          <w:szCs w:val="10"/>
        </w:rPr>
      </w:pPr>
      <w:r w:rsidDel="00000000" w:rsidR="00000000" w:rsidRPr="00000000">
        <w:rPr>
          <w:rtl w:val="0"/>
        </w:rPr>
      </w:r>
    </w:p>
    <w:p w:rsidR="00000000" w:rsidDel="00000000" w:rsidP="00000000" w:rsidRDefault="00000000" w:rsidRPr="00000000" w14:paraId="00000083">
      <w:pPr>
        <w:numPr>
          <w:ilvl w:val="1"/>
          <w:numId w:val="28"/>
        </w:numPr>
        <w:spacing w:after="240" w:before="0" w:lineRule="auto"/>
        <w:ind w:left="1440" w:hanging="360"/>
        <w:jc w:val="both"/>
      </w:pPr>
      <w:r w:rsidDel="00000000" w:rsidR="00000000" w:rsidRPr="00000000">
        <w:rPr>
          <w:rtl w:val="0"/>
        </w:rPr>
        <w:t xml:space="preserve">Passive exposure dominates across equity and fixed income, with large SPDR ETF franchises.</w:t>
      </w:r>
    </w:p>
    <w:p w:rsidR="00000000" w:rsidDel="00000000" w:rsidP="00000000" w:rsidRDefault="00000000" w:rsidRPr="00000000" w14:paraId="00000084">
      <w:pPr>
        <w:numPr>
          <w:ilvl w:val="0"/>
          <w:numId w:val="28"/>
        </w:numPr>
        <w:spacing w:after="0" w:afterAutospacing="0" w:before="240" w:lineRule="auto"/>
        <w:ind w:left="720" w:hanging="360"/>
        <w:jc w:val="both"/>
      </w:pPr>
      <w:r w:rsidDel="00000000" w:rsidR="00000000" w:rsidRPr="00000000">
        <w:rPr>
          <w:b w:val="1"/>
          <w:bCs w:val="1"/>
          <w:rtl w:val="0"/>
        </w:rPr>
        <w:t xml:space="preserve">Invesco</w:t>
      </w:r>
      <w:r w:rsidDel="00000000" w:rsidR="00000000" w:rsidRPr="00000000">
        <w:rPr>
          <w:rtl w:val="0"/>
        </w:rPr>
        <w:t xml:space="preserve"> maintains a noticeable tilt toward active, but with a rapidly growing passive book:</w:t>
        <w:br w:type="textWrapping"/>
      </w:r>
      <w:r w:rsidDel="00000000" w:rsidR="00000000" w:rsidRPr="00000000">
        <w:rPr>
          <w:rtl w:val="0"/>
        </w:rPr>
      </w:r>
    </w:p>
    <w:p w:rsidR="00000000" w:rsidDel="00000000" w:rsidP="00000000" w:rsidRDefault="00000000" w:rsidRPr="00000000" w14:paraId="00000085">
      <w:pPr>
        <w:numPr>
          <w:ilvl w:val="1"/>
          <w:numId w:val="28"/>
        </w:numPr>
        <w:spacing w:after="0" w:before="0" w:lineRule="auto"/>
        <w:ind w:left="1440" w:hanging="360"/>
        <w:jc w:val="both"/>
      </w:pPr>
      <w:r w:rsidDel="00000000" w:rsidR="00000000" w:rsidRPr="00000000">
        <w:rPr>
          <w:b w:val="1"/>
          <w:bCs w:val="1"/>
          <w:rtl w:val="0"/>
        </w:rPr>
        <w:t xml:space="preserve">Active AUM:</w:t>
      </w:r>
      <w:r w:rsidDel="00000000" w:rsidR="00000000" w:rsidRPr="00000000">
        <w:rPr>
          <w:rtl w:val="0"/>
        </w:rPr>
        <w:t xml:space="preserve"> </w:t>
      </w:r>
      <w:r w:rsidDel="00000000" w:rsidR="00000000" w:rsidRPr="00000000">
        <w:rPr>
          <w:b w:val="1"/>
          <w:bCs w:val="1"/>
          <w:rtl w:val="0"/>
        </w:rPr>
        <w:t xml:space="preserve">$1,026.5 billion</w:t>
      </w:r>
      <w:r w:rsidDel="00000000" w:rsidR="00000000" w:rsidRPr="00000000">
        <w:rPr>
          <w:rtl w:val="0"/>
        </w:rPr>
        <w:t xml:space="preserve">.</w:t>
      </w:r>
    </w:p>
    <w:p w:rsidR="00000000" w:rsidDel="00000000" w:rsidP="00000000" w:rsidRDefault="00000000" w:rsidRPr="00000000" w14:paraId="00000086">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87">
      <w:pPr>
        <w:numPr>
          <w:ilvl w:val="1"/>
          <w:numId w:val="28"/>
        </w:numPr>
        <w:spacing w:after="0" w:before="0" w:lineRule="auto"/>
        <w:ind w:left="1440" w:hanging="360"/>
        <w:jc w:val="both"/>
      </w:pPr>
      <w:r w:rsidDel="00000000" w:rsidR="00000000" w:rsidRPr="00000000">
        <w:rPr>
          <w:b w:val="1"/>
          <w:bCs w:val="1"/>
          <w:rtl w:val="0"/>
        </w:rPr>
        <w:t xml:space="preserve">Passive AUM:</w:t>
      </w:r>
      <w:r w:rsidDel="00000000" w:rsidR="00000000" w:rsidRPr="00000000">
        <w:rPr>
          <w:rtl w:val="0"/>
        </w:rPr>
        <w:t xml:space="preserve"> </w:t>
      </w:r>
      <w:r w:rsidDel="00000000" w:rsidR="00000000" w:rsidRPr="00000000">
        <w:rPr>
          <w:b w:val="1"/>
          <w:bCs w:val="1"/>
          <w:rtl w:val="0"/>
        </w:rPr>
        <w:t xml:space="preserve">$819.5 billion</w:t>
      </w:r>
      <w:r w:rsidDel="00000000" w:rsidR="00000000" w:rsidRPr="00000000">
        <w:rPr>
          <w:rtl w:val="0"/>
        </w:rPr>
        <w:t xml:space="preserve">, including ETFs and other index strategies.</w:t>
      </w:r>
    </w:p>
    <w:p w:rsidR="00000000" w:rsidDel="00000000" w:rsidP="00000000" w:rsidRDefault="00000000" w:rsidRPr="00000000" w14:paraId="00000088">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89">
      <w:pPr>
        <w:numPr>
          <w:ilvl w:val="1"/>
          <w:numId w:val="28"/>
        </w:numPr>
        <w:spacing w:after="0" w:before="0" w:lineRule="auto"/>
        <w:ind w:left="1440" w:hanging="360"/>
        <w:jc w:val="both"/>
      </w:pPr>
      <w:r w:rsidDel="00000000" w:rsidR="00000000" w:rsidRPr="00000000">
        <w:rPr>
          <w:rtl w:val="0"/>
        </w:rPr>
        <w:t xml:space="preserve">By investment capability, it reports </w:t>
      </w:r>
      <w:r w:rsidDel="00000000" w:rsidR="00000000" w:rsidRPr="00000000">
        <w:rPr>
          <w:b w:val="1"/>
          <w:bCs w:val="1"/>
          <w:rtl w:val="0"/>
        </w:rPr>
        <w:t xml:space="preserve">$484.0 billion</w:t>
      </w:r>
      <w:r w:rsidDel="00000000" w:rsidR="00000000" w:rsidRPr="00000000">
        <w:rPr>
          <w:rtl w:val="0"/>
        </w:rPr>
        <w:t xml:space="preserve"> in “ETFs and Index” and </w:t>
      </w:r>
      <w:r w:rsidDel="00000000" w:rsidR="00000000" w:rsidRPr="00000000">
        <w:rPr>
          <w:b w:val="1"/>
          <w:bCs w:val="1"/>
          <w:rtl w:val="0"/>
        </w:rPr>
        <w:t xml:space="preserve">$318.9 billion</w:t>
      </w:r>
      <w:r w:rsidDel="00000000" w:rsidR="00000000" w:rsidRPr="00000000">
        <w:rPr>
          <w:rtl w:val="0"/>
        </w:rPr>
        <w:t xml:space="preserve"> in the QQQ trust, alongside significant exposure in </w:t>
      </w:r>
      <w:r w:rsidDel="00000000" w:rsidR="00000000" w:rsidRPr="00000000">
        <w:rPr>
          <w:b w:val="1"/>
          <w:bCs w:val="1"/>
          <w:rtl w:val="0"/>
        </w:rPr>
        <w:t xml:space="preserve">Global Liquidity ($189.4bn)</w:t>
      </w:r>
      <w:r w:rsidDel="00000000" w:rsidR="00000000" w:rsidRPr="00000000">
        <w:rPr>
          <w:rtl w:val="0"/>
        </w:rPr>
        <w:t xml:space="preserve"> and </w:t>
      </w:r>
      <w:r w:rsidDel="00000000" w:rsidR="00000000" w:rsidRPr="00000000">
        <w:rPr>
          <w:b w:val="1"/>
          <w:bCs w:val="1"/>
          <w:rtl w:val="0"/>
        </w:rPr>
        <w:t xml:space="preserve">Private Markets ($128.5bn)</w:t>
      </w:r>
      <w:r w:rsidDel="00000000" w:rsidR="00000000" w:rsidRPr="00000000">
        <w:rPr>
          <w:rtl w:val="0"/>
        </w:rPr>
        <w:t xml:space="preserv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Invesco thus sits between State Street’s heavily passive institutional focus and BlackRock’s fully scaled dual leadership in active and passive.</w:t>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k7efena7s6cu" w:id="28"/>
      <w:bookmarkEnd w:id="28"/>
      <w:r w:rsidDel="00000000" w:rsidR="00000000" w:rsidRPr="00000000">
        <w:rPr>
          <w:b w:val="1"/>
          <w:bCs w:val="1"/>
          <w:color w:val="000000"/>
          <w:sz w:val="26"/>
          <w:szCs w:val="26"/>
          <w:rtl w:val="0"/>
        </w:rPr>
        <w:t xml:space="preserve">Geographic Footprint</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All three firms have significant global footprints:</w:t>
      </w:r>
    </w:p>
    <w:p w:rsidR="00000000" w:rsidDel="00000000" w:rsidP="00000000" w:rsidRDefault="00000000" w:rsidRPr="00000000" w14:paraId="0000008D">
      <w:pPr>
        <w:numPr>
          <w:ilvl w:val="0"/>
          <w:numId w:val="26"/>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reports long-term AUM by client region, with a strong tilt toward the Americas but meaningful EMEA and Asia-Pacific exposure.</w:t>
        <w:br w:type="textWrapping"/>
      </w:r>
      <w:r w:rsidDel="00000000" w:rsidR="00000000" w:rsidRPr="00000000">
        <w:rPr>
          <w:rtl w:val="0"/>
        </w:rPr>
      </w:r>
    </w:p>
    <w:p w:rsidR="00000000" w:rsidDel="00000000" w:rsidP="00000000" w:rsidRDefault="00000000" w:rsidRPr="00000000" w14:paraId="0000008E">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serves clients in </w:t>
      </w:r>
      <w:r w:rsidDel="00000000" w:rsidR="00000000" w:rsidRPr="00000000">
        <w:rPr>
          <w:b w:val="1"/>
          <w:bCs w:val="1"/>
          <w:rtl w:val="0"/>
        </w:rPr>
        <w:t xml:space="preserve">120+ countries</w:t>
      </w:r>
      <w:r w:rsidDel="00000000" w:rsidR="00000000" w:rsidRPr="00000000">
        <w:rPr>
          <w:rtl w:val="0"/>
        </w:rPr>
        <w:t xml:space="preserve">, with on-the-ground presence in </w:t>
      </w:r>
      <w:r w:rsidDel="00000000" w:rsidR="00000000" w:rsidRPr="00000000">
        <w:rPr>
          <w:b w:val="1"/>
          <w:bCs w:val="1"/>
          <w:rtl w:val="0"/>
        </w:rPr>
        <w:t xml:space="preserve">20+ countries</w:t>
      </w:r>
      <w:r w:rsidDel="00000000" w:rsidR="00000000" w:rsidRPr="00000000">
        <w:rPr>
          <w:rtl w:val="0"/>
        </w:rPr>
        <w:t xml:space="preserve">, and material business across the Americas, EMEA and APAC.</w:t>
        <w:br w:type="textWrapping"/>
      </w:r>
      <w:r w:rsidDel="00000000" w:rsidR="00000000" w:rsidRPr="00000000">
        <w:rPr>
          <w:rtl w:val="0"/>
        </w:rPr>
      </w:r>
    </w:p>
    <w:p w:rsidR="00000000" w:rsidDel="00000000" w:rsidP="00000000" w:rsidRDefault="00000000" w:rsidRPr="00000000" w14:paraId="0000008F">
      <w:pPr>
        <w:numPr>
          <w:ilvl w:val="0"/>
          <w:numId w:val="26"/>
        </w:numPr>
        <w:spacing w:after="24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operates servicing and management hubs across North America, Europe (e.g., Germany, UK, Ireland, Poland) and Asia-Pacific (e.g., China, India), reflecting the global nature of its institutional client base.</w:t>
      </w:r>
    </w:p>
    <w:p w:rsidR="00000000" w:rsidDel="00000000" w:rsidP="00000000" w:rsidRDefault="00000000" w:rsidRPr="00000000" w14:paraId="00000090">
      <w:pPr>
        <w:pStyle w:val="Heading3"/>
        <w:keepNext w:val="0"/>
        <w:keepLines w:val="0"/>
        <w:spacing w:before="280" w:lineRule="auto"/>
        <w:jc w:val="both"/>
        <w:rPr>
          <w:b w:val="1"/>
          <w:bCs w:val="1"/>
          <w:color w:val="000000"/>
          <w:sz w:val="26"/>
          <w:szCs w:val="26"/>
        </w:rPr>
      </w:pPr>
      <w:bookmarkStart w:colFirst="0" w:colLast="0" w:name="_jbtu9q32kw8" w:id="29"/>
      <w:bookmarkEnd w:id="29"/>
      <w:r w:rsidDel="00000000" w:rsidR="00000000" w:rsidRPr="00000000">
        <w:rPr>
          <w:b w:val="1"/>
          <w:bCs w:val="1"/>
          <w:color w:val="000000"/>
          <w:sz w:val="26"/>
          <w:szCs w:val="26"/>
          <w:rtl w:val="0"/>
        </w:rPr>
        <w:t xml:space="preserve">Core Competitive Advantages</w:t>
      </w:r>
    </w:p>
    <w:p w:rsidR="00000000" w:rsidDel="00000000" w:rsidP="00000000" w:rsidRDefault="00000000" w:rsidRPr="00000000" w14:paraId="00000091">
      <w:pPr>
        <w:numPr>
          <w:ilvl w:val="0"/>
          <w:numId w:val="4"/>
        </w:numPr>
        <w:spacing w:after="0" w:afterAutospacing="0" w:before="240" w:lineRule="auto"/>
        <w:ind w:left="720" w:hanging="360"/>
        <w:jc w:val="both"/>
      </w:pPr>
      <w:r w:rsidDel="00000000" w:rsidR="00000000" w:rsidRPr="00000000">
        <w:rPr>
          <w:b w:val="1"/>
          <w:bCs w:val="1"/>
          <w:rtl w:val="0"/>
        </w:rPr>
        <w:t xml:space="preserve">BlackRock:</w:t>
        <w:br w:type="textWrapping"/>
      </w:r>
      <w:r w:rsidDel="00000000" w:rsidR="00000000" w:rsidRPr="00000000">
        <w:rPr>
          <w:rtl w:val="0"/>
        </w:rPr>
      </w:r>
    </w:p>
    <w:p w:rsidR="00000000" w:rsidDel="00000000" w:rsidP="00000000" w:rsidRDefault="00000000" w:rsidRPr="00000000" w14:paraId="00000092">
      <w:pPr>
        <w:numPr>
          <w:ilvl w:val="1"/>
          <w:numId w:val="4"/>
        </w:numPr>
        <w:spacing w:after="0" w:before="0" w:lineRule="auto"/>
        <w:ind w:left="1440" w:hanging="360"/>
        <w:jc w:val="both"/>
      </w:pPr>
      <w:r w:rsidDel="00000000" w:rsidR="00000000" w:rsidRPr="00000000">
        <w:rPr>
          <w:rtl w:val="0"/>
        </w:rPr>
        <w:t xml:space="preserve">Unparalleled scale in AUM and product breadth.</w:t>
      </w:r>
    </w:p>
    <w:p w:rsidR="00000000" w:rsidDel="00000000" w:rsidP="00000000" w:rsidRDefault="00000000" w:rsidRPr="00000000" w14:paraId="00000093">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94">
      <w:pPr>
        <w:numPr>
          <w:ilvl w:val="1"/>
          <w:numId w:val="4"/>
        </w:numPr>
        <w:spacing w:after="0" w:before="0" w:lineRule="auto"/>
        <w:ind w:left="1440" w:hanging="360"/>
        <w:jc w:val="both"/>
      </w:pPr>
      <w:r w:rsidDel="00000000" w:rsidR="00000000" w:rsidRPr="00000000">
        <w:rPr>
          <w:b w:val="1"/>
          <w:bCs w:val="1"/>
          <w:rtl w:val="0"/>
        </w:rPr>
        <w:t xml:space="preserve">Aladdin</w:t>
      </w:r>
      <w:r w:rsidDel="00000000" w:rsidR="00000000" w:rsidRPr="00000000">
        <w:rPr>
          <w:rtl w:val="0"/>
        </w:rPr>
        <w:t xml:space="preserve"> as a powerful technology and data platform, used both internally and sold externally.</w:t>
      </w:r>
    </w:p>
    <w:p w:rsidR="00000000" w:rsidDel="00000000" w:rsidP="00000000" w:rsidRDefault="00000000" w:rsidRPr="00000000" w14:paraId="00000095">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96">
      <w:pPr>
        <w:numPr>
          <w:ilvl w:val="1"/>
          <w:numId w:val="4"/>
        </w:numPr>
        <w:spacing w:after="0" w:afterAutospacing="0" w:before="0" w:lineRule="auto"/>
        <w:ind w:left="1440" w:hanging="360"/>
        <w:jc w:val="both"/>
      </w:pPr>
      <w:r w:rsidDel="00000000" w:rsidR="00000000" w:rsidRPr="00000000">
        <w:rPr>
          <w:rtl w:val="0"/>
        </w:rPr>
        <w:t xml:space="preserve">Strong brand and distribution relationships with major institutional and intermediary clients.</w:t>
        <w:br w:type="textWrapping"/>
      </w:r>
      <w:r w:rsidDel="00000000" w:rsidR="00000000" w:rsidRPr="00000000">
        <w:rPr>
          <w:rtl w:val="0"/>
        </w:rPr>
      </w:r>
    </w:p>
    <w:p w:rsidR="00000000" w:rsidDel="00000000" w:rsidP="00000000" w:rsidRDefault="00000000" w:rsidRPr="00000000" w14:paraId="00000097">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Invesco:</w:t>
        <w:br w:type="textWrapping"/>
      </w:r>
      <w:r w:rsidDel="00000000" w:rsidR="00000000" w:rsidRPr="00000000">
        <w:rPr>
          <w:rtl w:val="0"/>
        </w:rPr>
      </w:r>
    </w:p>
    <w:p w:rsidR="00000000" w:rsidDel="00000000" w:rsidP="00000000" w:rsidRDefault="00000000" w:rsidRPr="00000000" w14:paraId="00000098">
      <w:pPr>
        <w:numPr>
          <w:ilvl w:val="1"/>
          <w:numId w:val="4"/>
        </w:numPr>
        <w:spacing w:after="0" w:before="0" w:lineRule="auto"/>
        <w:ind w:left="1440" w:hanging="360"/>
        <w:jc w:val="both"/>
      </w:pPr>
      <w:r w:rsidDel="00000000" w:rsidR="00000000" w:rsidRPr="00000000">
        <w:rPr>
          <w:rtl w:val="0"/>
        </w:rPr>
        <w:t xml:space="preserve">Positioning as a large, </w:t>
      </w:r>
      <w:r w:rsidDel="00000000" w:rsidR="00000000" w:rsidRPr="00000000">
        <w:rPr>
          <w:b w:val="1"/>
          <w:bCs w:val="1"/>
          <w:rtl w:val="0"/>
        </w:rPr>
        <w:t xml:space="preserve">independent global investment manager</w:t>
      </w:r>
      <w:r w:rsidDel="00000000" w:rsidR="00000000" w:rsidRPr="00000000">
        <w:rPr>
          <w:rtl w:val="0"/>
        </w:rPr>
        <w:t xml:space="preserve">, emphasizing the absence of conflicts associated with balance-sheet-driven banking or custody models.</w:t>
      </w:r>
    </w:p>
    <w:p w:rsidR="00000000" w:rsidDel="00000000" w:rsidP="00000000" w:rsidRDefault="00000000" w:rsidRPr="00000000" w14:paraId="00000099">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9A">
      <w:pPr>
        <w:numPr>
          <w:ilvl w:val="1"/>
          <w:numId w:val="4"/>
        </w:numPr>
        <w:spacing w:after="0" w:before="0" w:lineRule="auto"/>
        <w:ind w:left="1440" w:hanging="360"/>
        <w:jc w:val="both"/>
      </w:pPr>
      <w:r w:rsidDel="00000000" w:rsidR="00000000" w:rsidRPr="00000000">
        <w:rPr>
          <w:rtl w:val="0"/>
        </w:rPr>
        <w:t xml:space="preserve">Diversified capabilities across ETFs &amp; Index, QQQ, fundamental fixed income/equities, private markets, APAC, multi-asset and liquidity.</w:t>
        <w:br w:type="textWrapping"/>
      </w:r>
    </w:p>
    <w:p w:rsidR="00000000" w:rsidDel="00000000" w:rsidP="00000000" w:rsidRDefault="00000000" w:rsidRPr="00000000" w14:paraId="0000009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C">
      <w:pPr>
        <w:numPr>
          <w:ilvl w:val="0"/>
          <w:numId w:val="4"/>
        </w:numPr>
        <w:spacing w:after="0" w:afterAutospacing="0" w:before="240" w:lineRule="auto"/>
        <w:ind w:left="720" w:hanging="360"/>
        <w:jc w:val="both"/>
      </w:pPr>
      <w:r w:rsidDel="00000000" w:rsidR="00000000" w:rsidRPr="00000000">
        <w:rPr>
          <w:b w:val="1"/>
          <w:bCs w:val="1"/>
          <w:rtl w:val="0"/>
        </w:rPr>
        <w:t xml:space="preserve">State Street:</w:t>
        <w:br w:type="textWrapping"/>
      </w:r>
      <w:r w:rsidDel="00000000" w:rsidR="00000000" w:rsidRPr="00000000">
        <w:rPr>
          <w:rtl w:val="0"/>
        </w:rPr>
      </w:r>
    </w:p>
    <w:p w:rsidR="00000000" w:rsidDel="00000000" w:rsidP="00000000" w:rsidRDefault="00000000" w:rsidRPr="00000000" w14:paraId="0000009D">
      <w:pPr>
        <w:numPr>
          <w:ilvl w:val="1"/>
          <w:numId w:val="4"/>
        </w:numPr>
        <w:spacing w:after="0" w:before="0" w:lineRule="auto"/>
        <w:ind w:left="1440" w:hanging="360"/>
        <w:jc w:val="both"/>
      </w:pPr>
      <w:r w:rsidDel="00000000" w:rsidR="00000000" w:rsidRPr="00000000">
        <w:rPr>
          <w:rtl w:val="0"/>
        </w:rPr>
        <w:t xml:space="preserve">Deep entrenchment as a top-tier global custodian.</w:t>
      </w:r>
    </w:p>
    <w:p w:rsidR="00000000" w:rsidDel="00000000" w:rsidP="00000000" w:rsidRDefault="00000000" w:rsidRPr="00000000" w14:paraId="0000009E">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9F">
      <w:pPr>
        <w:numPr>
          <w:ilvl w:val="1"/>
          <w:numId w:val="4"/>
        </w:numPr>
        <w:spacing w:after="0" w:before="0" w:lineRule="auto"/>
        <w:ind w:left="1440" w:hanging="360"/>
        <w:jc w:val="both"/>
      </w:pPr>
      <w:r w:rsidDel="00000000" w:rsidR="00000000" w:rsidRPr="00000000">
        <w:rPr>
          <w:b w:val="1"/>
          <w:bCs w:val="1"/>
          <w:rtl w:val="0"/>
        </w:rPr>
        <w:t xml:space="preserve">State Street Alpha</w:t>
      </w:r>
      <w:r w:rsidDel="00000000" w:rsidR="00000000" w:rsidRPr="00000000">
        <w:rPr>
          <w:rtl w:val="0"/>
        </w:rPr>
        <w:t xml:space="preserve">, integrating Charles River Development with custody, accounting and data, creating a front-to-back solution with high switching costs.</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These distinct business models and competitive advantages directly shape the firms' product portfolios and technology offerings.</w:t>
      </w:r>
    </w:p>
    <w:p w:rsidR="00000000" w:rsidDel="00000000" w:rsidP="00000000" w:rsidRDefault="00000000" w:rsidRPr="00000000" w14:paraId="000000A1">
      <w:pPr>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b w:val="1"/>
          <w:bCs w:val="1"/>
          <w:sz w:val="30"/>
          <w:szCs w:val="30"/>
        </w:rPr>
      </w:pPr>
      <w:bookmarkStart w:colFirst="0" w:colLast="0" w:name="_jfng4ehkux9" w:id="30"/>
      <w:bookmarkEnd w:id="30"/>
      <w:r w:rsidDel="00000000" w:rsidR="00000000" w:rsidRPr="00000000">
        <w:rPr>
          <w:b w:val="1"/>
          <w:bCs w:val="1"/>
          <w:sz w:val="30"/>
          <w:szCs w:val="30"/>
          <w:rtl w:val="0"/>
        </w:rPr>
        <w:t xml:space="preserve">4.0 Product Portfolio Comparison</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A firm's product portfolio is the tangible manifestation of its strategy and the primary interface with its clients.</w:t>
      </w:r>
    </w:p>
    <w:p w:rsidR="00000000" w:rsidDel="00000000" w:rsidP="00000000" w:rsidRDefault="00000000" w:rsidRPr="00000000" w14:paraId="000000A4">
      <w:pPr>
        <w:pStyle w:val="Heading3"/>
        <w:keepNext w:val="0"/>
        <w:keepLines w:val="0"/>
        <w:spacing w:before="280" w:lineRule="auto"/>
        <w:jc w:val="both"/>
        <w:rPr>
          <w:b w:val="1"/>
          <w:bCs w:val="1"/>
          <w:color w:val="000000"/>
          <w:sz w:val="26"/>
          <w:szCs w:val="26"/>
        </w:rPr>
      </w:pPr>
      <w:bookmarkStart w:colFirst="0" w:colLast="0" w:name="_ph900sndypib" w:id="31"/>
      <w:bookmarkEnd w:id="31"/>
      <w:r w:rsidDel="00000000" w:rsidR="00000000" w:rsidRPr="00000000">
        <w:rPr>
          <w:b w:val="1"/>
          <w:bCs w:val="1"/>
          <w:color w:val="000000"/>
          <w:sz w:val="26"/>
          <w:szCs w:val="26"/>
          <w:rtl w:val="0"/>
        </w:rPr>
        <w:t xml:space="preserve">Assets Under Management by Product Category (2024)</w:t>
      </w:r>
    </w:p>
    <w:p w:rsidR="00000000" w:rsidDel="00000000" w:rsidP="00000000" w:rsidRDefault="00000000" w:rsidRPr="00000000" w14:paraId="000000A5">
      <w:pPr>
        <w:spacing w:after="240" w:before="240" w:lineRule="auto"/>
        <w:jc w:val="both"/>
        <w:rPr>
          <w:b w:val="1"/>
          <w:bCs w:val="1"/>
        </w:rPr>
      </w:pPr>
      <w:r w:rsidDel="00000000" w:rsidR="00000000" w:rsidRPr="00000000">
        <w:rPr>
          <w:b w:val="1"/>
          <w:bCs w:val="1"/>
          <w:rtl w:val="0"/>
        </w:rPr>
        <w:t xml:space="preserve">BlackRock and State Street report AUM by traditional asset class; Invesco reports by investment capability.</w:t>
      </w:r>
    </w:p>
    <w:p w:rsidR="00000000" w:rsidDel="00000000" w:rsidP="00000000" w:rsidRDefault="00000000" w:rsidRPr="00000000" w14:paraId="000000A6">
      <w:pPr>
        <w:spacing w:after="240" w:before="240" w:lineRule="auto"/>
        <w:jc w:val="both"/>
        <w:rPr/>
      </w:pPr>
      <w:r w:rsidDel="00000000" w:rsidR="00000000" w:rsidRPr="00000000">
        <w:rPr>
          <w:b w:val="1"/>
          <w:bCs w:val="1"/>
          <w:rtl w:val="0"/>
        </w:rPr>
        <w:t xml:space="preserve">BlackRock – AUM by Product Type (Long-Term &amp; Cash)</w:t>
        <w:br w:type="textWrapping"/>
      </w:r>
      <w:r w:rsidDel="00000000" w:rsidR="00000000" w:rsidRPr="00000000">
        <w:rPr>
          <w:rtl w:val="0"/>
        </w:rPr>
        <w:t xml:space="preserve"> (Dec 31, 2024; in billions)</w:t>
      </w:r>
    </w:p>
    <w:p w:rsidR="00000000" w:rsidDel="00000000" w:rsidP="00000000" w:rsidRDefault="00000000" w:rsidRPr="00000000" w14:paraId="000000A7">
      <w:pPr>
        <w:numPr>
          <w:ilvl w:val="0"/>
          <w:numId w:val="5"/>
        </w:numPr>
        <w:spacing w:after="0" w:afterAutospacing="0" w:before="240" w:lineRule="auto"/>
        <w:ind w:left="720" w:hanging="360"/>
        <w:jc w:val="both"/>
      </w:pPr>
      <w:r w:rsidDel="00000000" w:rsidR="00000000" w:rsidRPr="00000000">
        <w:rPr>
          <w:rtl w:val="0"/>
        </w:rPr>
        <w:t xml:space="preserve">Equity: </w:t>
      </w:r>
      <w:r w:rsidDel="00000000" w:rsidR="00000000" w:rsidRPr="00000000">
        <w:rPr>
          <w:b w:val="1"/>
          <w:bCs w:val="1"/>
          <w:rtl w:val="0"/>
        </w:rPr>
        <w:t xml:space="preserve">$6,310.2</w:t>
      </w:r>
    </w:p>
    <w:p w:rsidR="00000000" w:rsidDel="00000000" w:rsidP="00000000" w:rsidRDefault="00000000" w:rsidRPr="00000000" w14:paraId="000000A8">
      <w:pPr>
        <w:numPr>
          <w:ilvl w:val="0"/>
          <w:numId w:val="5"/>
        </w:numPr>
        <w:spacing w:after="0" w:afterAutospacing="0" w:before="0" w:beforeAutospacing="0" w:lineRule="auto"/>
        <w:ind w:left="720" w:hanging="360"/>
        <w:jc w:val="both"/>
      </w:pPr>
      <w:r w:rsidDel="00000000" w:rsidR="00000000" w:rsidRPr="00000000">
        <w:rPr>
          <w:rtl w:val="0"/>
        </w:rPr>
        <w:t xml:space="preserve">Fixed Income: </w:t>
      </w:r>
      <w:r w:rsidDel="00000000" w:rsidR="00000000" w:rsidRPr="00000000">
        <w:rPr>
          <w:b w:val="1"/>
          <w:bCs w:val="1"/>
          <w:rtl w:val="0"/>
        </w:rPr>
        <w:t xml:space="preserve">$2,905.7</w:t>
      </w:r>
    </w:p>
    <w:p w:rsidR="00000000" w:rsidDel="00000000" w:rsidP="00000000" w:rsidRDefault="00000000" w:rsidRPr="00000000" w14:paraId="000000A9">
      <w:pPr>
        <w:numPr>
          <w:ilvl w:val="0"/>
          <w:numId w:val="5"/>
        </w:numPr>
        <w:spacing w:after="0" w:afterAutospacing="0" w:before="0" w:beforeAutospacing="0" w:lineRule="auto"/>
        <w:ind w:left="720" w:hanging="360"/>
        <w:jc w:val="both"/>
      </w:pPr>
      <w:r w:rsidDel="00000000" w:rsidR="00000000" w:rsidRPr="00000000">
        <w:rPr>
          <w:rtl w:val="0"/>
        </w:rPr>
        <w:t xml:space="preserve">Multi-Asset: </w:t>
      </w:r>
      <w:r w:rsidDel="00000000" w:rsidR="00000000" w:rsidRPr="00000000">
        <w:rPr>
          <w:b w:val="1"/>
          <w:bCs w:val="1"/>
          <w:rtl w:val="0"/>
        </w:rPr>
        <w:t xml:space="preserve">$992.9</w:t>
      </w:r>
    </w:p>
    <w:p w:rsidR="00000000" w:rsidDel="00000000" w:rsidP="00000000" w:rsidRDefault="00000000" w:rsidRPr="00000000" w14:paraId="000000AA">
      <w:pPr>
        <w:numPr>
          <w:ilvl w:val="0"/>
          <w:numId w:val="5"/>
        </w:numPr>
        <w:spacing w:after="0" w:afterAutospacing="0" w:before="0" w:beforeAutospacing="0" w:lineRule="auto"/>
        <w:ind w:left="720" w:hanging="360"/>
        <w:jc w:val="both"/>
      </w:pPr>
      <w:r w:rsidDel="00000000" w:rsidR="00000000" w:rsidRPr="00000000">
        <w:rPr>
          <w:rtl w:val="0"/>
        </w:rPr>
        <w:t xml:space="preserve">Alternatives: </w:t>
      </w:r>
      <w:r w:rsidDel="00000000" w:rsidR="00000000" w:rsidRPr="00000000">
        <w:rPr>
          <w:b w:val="1"/>
          <w:bCs w:val="1"/>
          <w:rtl w:val="0"/>
        </w:rPr>
        <w:t xml:space="preserve">$421.8</w:t>
      </w:r>
    </w:p>
    <w:p w:rsidR="00000000" w:rsidDel="00000000" w:rsidP="00000000" w:rsidRDefault="00000000" w:rsidRPr="00000000" w14:paraId="000000AB">
      <w:pPr>
        <w:numPr>
          <w:ilvl w:val="0"/>
          <w:numId w:val="5"/>
        </w:numPr>
        <w:spacing w:after="0" w:afterAutospacing="0" w:before="0" w:beforeAutospacing="0" w:lineRule="auto"/>
        <w:ind w:left="720" w:hanging="360"/>
        <w:jc w:val="both"/>
      </w:pPr>
      <w:r w:rsidDel="00000000" w:rsidR="00000000" w:rsidRPr="00000000">
        <w:rPr>
          <w:rtl w:val="0"/>
        </w:rPr>
        <w:t xml:space="preserve">Cash Management: </w:t>
      </w:r>
      <w:r w:rsidDel="00000000" w:rsidR="00000000" w:rsidRPr="00000000">
        <w:rPr>
          <w:b w:val="1"/>
          <w:bCs w:val="1"/>
          <w:rtl w:val="0"/>
        </w:rPr>
        <w:t xml:space="preserve">$920.7</w:t>
      </w:r>
    </w:p>
    <w:p w:rsidR="00000000" w:rsidDel="00000000" w:rsidP="00000000" w:rsidRDefault="00000000" w:rsidRPr="00000000" w14:paraId="000000AC">
      <w:pPr>
        <w:numPr>
          <w:ilvl w:val="0"/>
          <w:numId w:val="5"/>
        </w:numPr>
        <w:spacing w:after="240" w:before="0" w:beforeAutospacing="0" w:lineRule="auto"/>
        <w:ind w:left="720" w:hanging="360"/>
        <w:jc w:val="both"/>
      </w:pPr>
      <w:r w:rsidDel="00000000" w:rsidR="00000000" w:rsidRPr="00000000">
        <w:rPr>
          <w:b w:val="1"/>
          <w:bCs w:val="1"/>
          <w:rtl w:val="0"/>
        </w:rPr>
        <w:t xml:space="preserve">Total AUM:</w:t>
      </w:r>
      <w:r w:rsidDel="00000000" w:rsidR="00000000" w:rsidRPr="00000000">
        <w:rPr>
          <w:rtl w:val="0"/>
        </w:rPr>
        <w:t xml:space="preserve"> </w:t>
      </w:r>
      <w:r w:rsidDel="00000000" w:rsidR="00000000" w:rsidRPr="00000000">
        <w:rPr>
          <w:b w:val="1"/>
          <w:bCs w:val="1"/>
          <w:rtl w:val="0"/>
        </w:rPr>
        <w:t xml:space="preserve">$11,551.3</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State Street Global Advisors – AUM by Asset Class</w:t>
        <w:br w:type="textWrapping"/>
      </w:r>
      <w:r w:rsidDel="00000000" w:rsidR="00000000" w:rsidRPr="00000000">
        <w:rPr>
          <w:rtl w:val="0"/>
        </w:rPr>
        <w:t xml:space="preserve"> (Dec 31, 2024; in billions)</w:t>
      </w:r>
    </w:p>
    <w:p w:rsidR="00000000" w:rsidDel="00000000" w:rsidP="00000000" w:rsidRDefault="00000000" w:rsidRPr="00000000" w14:paraId="000000AE">
      <w:pPr>
        <w:numPr>
          <w:ilvl w:val="0"/>
          <w:numId w:val="6"/>
        </w:numPr>
        <w:spacing w:after="0" w:afterAutospacing="0" w:before="240" w:lineRule="auto"/>
        <w:ind w:left="720" w:hanging="360"/>
        <w:jc w:val="both"/>
      </w:pPr>
      <w:r w:rsidDel="00000000" w:rsidR="00000000" w:rsidRPr="00000000">
        <w:rPr>
          <w:rtl w:val="0"/>
        </w:rPr>
        <w:t xml:space="preserve">Equity: </w:t>
      </w:r>
      <w:r w:rsidDel="00000000" w:rsidR="00000000" w:rsidRPr="00000000">
        <w:rPr>
          <w:b w:val="1"/>
          <w:bCs w:val="1"/>
          <w:rtl w:val="0"/>
        </w:rPr>
        <w:t xml:space="preserve">$3,007</w:t>
      </w:r>
    </w:p>
    <w:p w:rsidR="00000000" w:rsidDel="00000000" w:rsidP="00000000" w:rsidRDefault="00000000" w:rsidRPr="00000000" w14:paraId="000000AF">
      <w:pPr>
        <w:numPr>
          <w:ilvl w:val="0"/>
          <w:numId w:val="6"/>
        </w:numPr>
        <w:spacing w:after="0" w:afterAutospacing="0" w:before="0" w:beforeAutospacing="0" w:lineRule="auto"/>
        <w:ind w:left="720" w:hanging="360"/>
        <w:jc w:val="both"/>
      </w:pPr>
      <w:r w:rsidDel="00000000" w:rsidR="00000000" w:rsidRPr="00000000">
        <w:rPr>
          <w:rtl w:val="0"/>
        </w:rPr>
        <w:t xml:space="preserve">Fixed Income: </w:t>
      </w:r>
      <w:r w:rsidDel="00000000" w:rsidR="00000000" w:rsidRPr="00000000">
        <w:rPr>
          <w:b w:val="1"/>
          <w:bCs w:val="1"/>
          <w:rtl w:val="0"/>
        </w:rPr>
        <w:t xml:space="preserve">$616</w:t>
      </w:r>
    </w:p>
    <w:p w:rsidR="00000000" w:rsidDel="00000000" w:rsidP="00000000" w:rsidRDefault="00000000" w:rsidRPr="00000000" w14:paraId="000000B0">
      <w:pPr>
        <w:numPr>
          <w:ilvl w:val="0"/>
          <w:numId w:val="6"/>
        </w:numPr>
        <w:spacing w:after="0" w:afterAutospacing="0" w:before="0" w:beforeAutospacing="0" w:lineRule="auto"/>
        <w:ind w:left="720" w:hanging="360"/>
        <w:jc w:val="both"/>
      </w:pPr>
      <w:r w:rsidDel="00000000" w:rsidR="00000000" w:rsidRPr="00000000">
        <w:rPr>
          <w:rtl w:val="0"/>
        </w:rPr>
        <w:t xml:space="preserve">Cash: </w:t>
      </w:r>
      <w:r w:rsidDel="00000000" w:rsidR="00000000" w:rsidRPr="00000000">
        <w:rPr>
          <w:b w:val="1"/>
          <w:bCs w:val="1"/>
          <w:rtl w:val="0"/>
        </w:rPr>
        <w:t xml:space="preserve">$518</w:t>
      </w:r>
    </w:p>
    <w:p w:rsidR="00000000" w:rsidDel="00000000" w:rsidP="00000000" w:rsidRDefault="00000000" w:rsidRPr="00000000" w14:paraId="000000B1">
      <w:pPr>
        <w:numPr>
          <w:ilvl w:val="0"/>
          <w:numId w:val="6"/>
        </w:numPr>
        <w:spacing w:after="0" w:afterAutospacing="0" w:before="0" w:beforeAutospacing="0" w:lineRule="auto"/>
        <w:ind w:left="720" w:hanging="360"/>
        <w:jc w:val="both"/>
      </w:pPr>
      <w:r w:rsidDel="00000000" w:rsidR="00000000" w:rsidRPr="00000000">
        <w:rPr>
          <w:rtl w:val="0"/>
        </w:rPr>
        <w:t xml:space="preserve">Multi-Asset-Class Solutions: </w:t>
      </w:r>
      <w:r w:rsidDel="00000000" w:rsidR="00000000" w:rsidRPr="00000000">
        <w:rPr>
          <w:b w:val="1"/>
          <w:bCs w:val="1"/>
          <w:rtl w:val="0"/>
        </w:rPr>
        <w:t xml:space="preserve">$374</w:t>
      </w:r>
    </w:p>
    <w:p w:rsidR="00000000" w:rsidDel="00000000" w:rsidP="00000000" w:rsidRDefault="00000000" w:rsidRPr="00000000" w14:paraId="000000B2">
      <w:pPr>
        <w:numPr>
          <w:ilvl w:val="0"/>
          <w:numId w:val="6"/>
        </w:numPr>
        <w:spacing w:after="0" w:afterAutospacing="0" w:before="0" w:beforeAutospacing="0" w:lineRule="auto"/>
        <w:ind w:left="720" w:hanging="360"/>
        <w:jc w:val="both"/>
      </w:pPr>
      <w:r w:rsidDel="00000000" w:rsidR="00000000" w:rsidRPr="00000000">
        <w:rPr>
          <w:rtl w:val="0"/>
        </w:rPr>
        <w:t xml:space="preserve">Alternative Investments: </w:t>
      </w:r>
      <w:r w:rsidDel="00000000" w:rsidR="00000000" w:rsidRPr="00000000">
        <w:rPr>
          <w:b w:val="1"/>
          <w:bCs w:val="1"/>
          <w:rtl w:val="0"/>
        </w:rPr>
        <w:t xml:space="preserve">$200</w:t>
      </w:r>
    </w:p>
    <w:p w:rsidR="00000000" w:rsidDel="00000000" w:rsidP="00000000" w:rsidRDefault="00000000" w:rsidRPr="00000000" w14:paraId="000000B3">
      <w:pPr>
        <w:numPr>
          <w:ilvl w:val="0"/>
          <w:numId w:val="6"/>
        </w:numPr>
        <w:spacing w:after="240" w:before="0" w:beforeAutospacing="0" w:lineRule="auto"/>
        <w:ind w:left="720" w:hanging="360"/>
        <w:jc w:val="both"/>
      </w:pPr>
      <w:r w:rsidDel="00000000" w:rsidR="00000000" w:rsidRPr="00000000">
        <w:rPr>
          <w:b w:val="1"/>
          <w:bCs w:val="1"/>
          <w:rtl w:val="0"/>
        </w:rPr>
        <w:t xml:space="preserve">Total AUM:</w:t>
      </w:r>
      <w:r w:rsidDel="00000000" w:rsidR="00000000" w:rsidRPr="00000000">
        <w:rPr>
          <w:rtl w:val="0"/>
        </w:rPr>
        <w:t xml:space="preserve"> </w:t>
      </w:r>
      <w:r w:rsidDel="00000000" w:rsidR="00000000" w:rsidRPr="00000000">
        <w:rPr>
          <w:b w:val="1"/>
          <w:bCs w:val="1"/>
          <w:rtl w:val="0"/>
        </w:rPr>
        <w:t xml:space="preserve">$4,715</w:t>
        <w:br w:type="textWrapping"/>
      </w:r>
    </w:p>
    <w:p w:rsidR="00000000" w:rsidDel="00000000" w:rsidP="00000000" w:rsidRDefault="00000000" w:rsidRPr="00000000" w14:paraId="000000B4">
      <w:pPr>
        <w:spacing w:after="240" w:before="240" w:lineRule="auto"/>
        <w:jc w:val="both"/>
        <w:rPr/>
      </w:pPr>
      <w:r w:rsidDel="00000000" w:rsidR="00000000" w:rsidRPr="00000000">
        <w:rPr>
          <w:rtl w:val="0"/>
        </w:rPr>
        <w:t xml:space="preserve">For </w:t>
      </w:r>
      <w:r w:rsidDel="00000000" w:rsidR="00000000" w:rsidRPr="00000000">
        <w:rPr>
          <w:b w:val="1"/>
          <w:bCs w:val="1"/>
          <w:rtl w:val="0"/>
        </w:rPr>
        <w:t xml:space="preserve">Invesco</w:t>
      </w:r>
      <w:r w:rsidDel="00000000" w:rsidR="00000000" w:rsidRPr="00000000">
        <w:rPr>
          <w:rtl w:val="0"/>
        </w:rPr>
        <w:t xml:space="preserve">, the firm no longer presents AUM by traditional asset class; instead it reports by </w:t>
      </w:r>
      <w:r w:rsidDel="00000000" w:rsidR="00000000" w:rsidRPr="00000000">
        <w:rPr>
          <w:b w:val="1"/>
          <w:bCs w:val="1"/>
          <w:rtl w:val="0"/>
        </w:rPr>
        <w:t xml:space="preserve">investment capability</w:t>
      </w:r>
      <w:r w:rsidDel="00000000" w:rsidR="00000000" w:rsidRPr="00000000">
        <w:rPr>
          <w:rtl w:val="0"/>
        </w:rPr>
        <w:t xml:space="preserve">:</w:t>
      </w:r>
    </w:p>
    <w:p w:rsidR="00000000" w:rsidDel="00000000" w:rsidP="00000000" w:rsidRDefault="00000000" w:rsidRPr="00000000" w14:paraId="000000B5">
      <w:pPr>
        <w:spacing w:after="240" w:before="240" w:lineRule="auto"/>
        <w:jc w:val="both"/>
        <w:rPr>
          <w:b w:val="1"/>
          <w:bCs w:val="1"/>
        </w:rPr>
      </w:pPr>
      <w:r w:rsidDel="00000000" w:rsidR="00000000" w:rsidRPr="00000000">
        <w:rPr>
          <w:b w:val="1"/>
          <w:bCs w:val="1"/>
          <w:rtl w:val="0"/>
        </w:rPr>
        <w:t xml:space="preserve">Invesco – AUM by Investment Capability (Dec 31, 2024; in billions)</w:t>
      </w:r>
    </w:p>
    <w:p w:rsidR="00000000" w:rsidDel="00000000" w:rsidP="00000000" w:rsidRDefault="00000000" w:rsidRPr="00000000" w14:paraId="000000B6">
      <w:pPr>
        <w:numPr>
          <w:ilvl w:val="0"/>
          <w:numId w:val="17"/>
        </w:numPr>
        <w:spacing w:after="0" w:afterAutospacing="0" w:before="240" w:lineRule="auto"/>
        <w:ind w:left="720" w:hanging="360"/>
        <w:jc w:val="both"/>
      </w:pPr>
      <w:r w:rsidDel="00000000" w:rsidR="00000000" w:rsidRPr="00000000">
        <w:rPr>
          <w:rtl w:val="0"/>
        </w:rPr>
        <w:t xml:space="preserve">ETFs &amp; Index: </w:t>
      </w:r>
      <w:r w:rsidDel="00000000" w:rsidR="00000000" w:rsidRPr="00000000">
        <w:rPr>
          <w:b w:val="1"/>
          <w:bCs w:val="1"/>
          <w:rtl w:val="0"/>
        </w:rPr>
        <w:t xml:space="preserve">$484.0</w:t>
      </w:r>
    </w:p>
    <w:p w:rsidR="00000000" w:rsidDel="00000000" w:rsidP="00000000" w:rsidRDefault="00000000" w:rsidRPr="00000000" w14:paraId="000000B7">
      <w:pPr>
        <w:numPr>
          <w:ilvl w:val="0"/>
          <w:numId w:val="17"/>
        </w:numPr>
        <w:spacing w:after="0" w:afterAutospacing="0" w:before="0" w:beforeAutospacing="0" w:lineRule="auto"/>
        <w:ind w:left="720" w:hanging="360"/>
        <w:jc w:val="both"/>
      </w:pPr>
      <w:r w:rsidDel="00000000" w:rsidR="00000000" w:rsidRPr="00000000">
        <w:rPr>
          <w:rtl w:val="0"/>
        </w:rPr>
        <w:t xml:space="preserve">Fundamental Fixed Income: </w:t>
      </w:r>
      <w:r w:rsidDel="00000000" w:rsidR="00000000" w:rsidRPr="00000000">
        <w:rPr>
          <w:b w:val="1"/>
          <w:bCs w:val="1"/>
          <w:rtl w:val="0"/>
        </w:rPr>
        <w:t xml:space="preserve">$281.1</w:t>
      </w:r>
    </w:p>
    <w:p w:rsidR="00000000" w:rsidDel="00000000" w:rsidP="00000000" w:rsidRDefault="00000000" w:rsidRPr="00000000" w14:paraId="000000B8">
      <w:pPr>
        <w:numPr>
          <w:ilvl w:val="0"/>
          <w:numId w:val="17"/>
        </w:numPr>
        <w:spacing w:after="0" w:afterAutospacing="0" w:before="0" w:beforeAutospacing="0" w:lineRule="auto"/>
        <w:ind w:left="720" w:hanging="360"/>
        <w:jc w:val="both"/>
      </w:pPr>
      <w:r w:rsidDel="00000000" w:rsidR="00000000" w:rsidRPr="00000000">
        <w:rPr>
          <w:rtl w:val="0"/>
        </w:rPr>
        <w:t xml:space="preserve">Fundamental Equities: </w:t>
      </w:r>
      <w:r w:rsidDel="00000000" w:rsidR="00000000" w:rsidRPr="00000000">
        <w:rPr>
          <w:b w:val="1"/>
          <w:bCs w:val="1"/>
          <w:rtl w:val="0"/>
        </w:rPr>
        <w:t xml:space="preserve">$266.5</w:t>
      </w:r>
    </w:p>
    <w:p w:rsidR="00000000" w:rsidDel="00000000" w:rsidP="00000000" w:rsidRDefault="00000000" w:rsidRPr="00000000" w14:paraId="000000B9">
      <w:pPr>
        <w:numPr>
          <w:ilvl w:val="0"/>
          <w:numId w:val="17"/>
        </w:numPr>
        <w:spacing w:after="0" w:afterAutospacing="0" w:before="0" w:beforeAutospacing="0" w:lineRule="auto"/>
        <w:ind w:left="720" w:hanging="360"/>
        <w:jc w:val="both"/>
      </w:pPr>
      <w:r w:rsidDel="00000000" w:rsidR="00000000" w:rsidRPr="00000000">
        <w:rPr>
          <w:rtl w:val="0"/>
        </w:rPr>
        <w:t xml:space="preserve">Private Markets: </w:t>
      </w:r>
      <w:r w:rsidDel="00000000" w:rsidR="00000000" w:rsidRPr="00000000">
        <w:rPr>
          <w:b w:val="1"/>
          <w:bCs w:val="1"/>
          <w:rtl w:val="0"/>
        </w:rPr>
        <w:t xml:space="preserve">$128.5</w:t>
      </w:r>
    </w:p>
    <w:p w:rsidR="00000000" w:rsidDel="00000000" w:rsidP="00000000" w:rsidRDefault="00000000" w:rsidRPr="00000000" w14:paraId="000000BA">
      <w:pPr>
        <w:numPr>
          <w:ilvl w:val="0"/>
          <w:numId w:val="17"/>
        </w:numPr>
        <w:spacing w:after="0" w:afterAutospacing="0" w:before="0" w:beforeAutospacing="0" w:lineRule="auto"/>
        <w:ind w:left="720" w:hanging="360"/>
        <w:jc w:val="both"/>
      </w:pPr>
      <w:r w:rsidDel="00000000" w:rsidR="00000000" w:rsidRPr="00000000">
        <w:rPr>
          <w:rtl w:val="0"/>
        </w:rPr>
        <w:t xml:space="preserve">APAC Managed: </w:t>
      </w:r>
      <w:r w:rsidDel="00000000" w:rsidR="00000000" w:rsidRPr="00000000">
        <w:rPr>
          <w:b w:val="1"/>
          <w:bCs w:val="1"/>
          <w:rtl w:val="0"/>
        </w:rPr>
        <w:t xml:space="preserve">$118.8</w:t>
      </w:r>
    </w:p>
    <w:p w:rsidR="00000000" w:rsidDel="00000000" w:rsidP="00000000" w:rsidRDefault="00000000" w:rsidRPr="00000000" w14:paraId="000000BB">
      <w:pPr>
        <w:numPr>
          <w:ilvl w:val="0"/>
          <w:numId w:val="17"/>
        </w:numPr>
        <w:spacing w:after="0" w:afterAutospacing="0" w:before="0" w:beforeAutospacing="0" w:lineRule="auto"/>
        <w:ind w:left="720" w:hanging="360"/>
        <w:jc w:val="both"/>
      </w:pPr>
      <w:r w:rsidDel="00000000" w:rsidR="00000000" w:rsidRPr="00000000">
        <w:rPr>
          <w:rtl w:val="0"/>
        </w:rPr>
        <w:t xml:space="preserve">Multi-Asset / Other: </w:t>
      </w:r>
      <w:r w:rsidDel="00000000" w:rsidR="00000000" w:rsidRPr="00000000">
        <w:rPr>
          <w:b w:val="1"/>
          <w:bCs w:val="1"/>
          <w:rtl w:val="0"/>
        </w:rPr>
        <w:t xml:space="preserve">$58.8</w:t>
      </w:r>
    </w:p>
    <w:p w:rsidR="00000000" w:rsidDel="00000000" w:rsidP="00000000" w:rsidRDefault="00000000" w:rsidRPr="00000000" w14:paraId="000000BC">
      <w:pPr>
        <w:numPr>
          <w:ilvl w:val="0"/>
          <w:numId w:val="17"/>
        </w:numPr>
        <w:spacing w:after="0" w:afterAutospacing="0" w:before="0" w:beforeAutospacing="0" w:lineRule="auto"/>
        <w:ind w:left="720" w:hanging="360"/>
        <w:jc w:val="both"/>
      </w:pPr>
      <w:r w:rsidDel="00000000" w:rsidR="00000000" w:rsidRPr="00000000">
        <w:rPr>
          <w:rtl w:val="0"/>
        </w:rPr>
        <w:t xml:space="preserve">Global Liquidity: </w:t>
      </w:r>
      <w:r w:rsidDel="00000000" w:rsidR="00000000" w:rsidRPr="00000000">
        <w:rPr>
          <w:b w:val="1"/>
          <w:bCs w:val="1"/>
          <w:rtl w:val="0"/>
        </w:rPr>
        <w:t xml:space="preserve">$189.4</w:t>
      </w:r>
    </w:p>
    <w:p w:rsidR="00000000" w:rsidDel="00000000" w:rsidP="00000000" w:rsidRDefault="00000000" w:rsidRPr="00000000" w14:paraId="000000BD">
      <w:pPr>
        <w:numPr>
          <w:ilvl w:val="0"/>
          <w:numId w:val="17"/>
        </w:numPr>
        <w:spacing w:after="0" w:afterAutospacing="0" w:before="0" w:beforeAutospacing="0" w:lineRule="auto"/>
        <w:ind w:left="720" w:hanging="360"/>
        <w:jc w:val="both"/>
      </w:pPr>
      <w:r w:rsidDel="00000000" w:rsidR="00000000" w:rsidRPr="00000000">
        <w:rPr>
          <w:rtl w:val="0"/>
        </w:rPr>
        <w:t xml:space="preserve">QQQ: </w:t>
      </w:r>
      <w:r w:rsidDel="00000000" w:rsidR="00000000" w:rsidRPr="00000000">
        <w:rPr>
          <w:b w:val="1"/>
          <w:bCs w:val="1"/>
          <w:rtl w:val="0"/>
        </w:rPr>
        <w:t xml:space="preserve">$318.9</w:t>
      </w:r>
    </w:p>
    <w:p w:rsidR="00000000" w:rsidDel="00000000" w:rsidP="00000000" w:rsidRDefault="00000000" w:rsidRPr="00000000" w14:paraId="000000BE">
      <w:pPr>
        <w:numPr>
          <w:ilvl w:val="0"/>
          <w:numId w:val="17"/>
        </w:numPr>
        <w:spacing w:after="240" w:before="0" w:beforeAutospacing="0" w:lineRule="auto"/>
        <w:ind w:left="720" w:hanging="360"/>
        <w:jc w:val="both"/>
      </w:pPr>
      <w:r w:rsidDel="00000000" w:rsidR="00000000" w:rsidRPr="00000000">
        <w:rPr>
          <w:b w:val="1"/>
          <w:bCs w:val="1"/>
          <w:rtl w:val="0"/>
        </w:rPr>
        <w:t xml:space="preserve">Total AUM:</w:t>
      </w:r>
      <w:r w:rsidDel="00000000" w:rsidR="00000000" w:rsidRPr="00000000">
        <w:rPr>
          <w:rtl w:val="0"/>
        </w:rPr>
        <w:t xml:space="preserve"> </w:t>
      </w:r>
      <w:r w:rsidDel="00000000" w:rsidR="00000000" w:rsidRPr="00000000">
        <w:rPr>
          <w:b w:val="1"/>
          <w:bCs w:val="1"/>
          <w:rtl w:val="0"/>
        </w:rPr>
        <w:t xml:space="preserve">$1,846.0</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These numbers underline:</w:t>
      </w:r>
    </w:p>
    <w:p w:rsidR="00000000" w:rsidDel="00000000" w:rsidP="00000000" w:rsidRDefault="00000000" w:rsidRPr="00000000" w14:paraId="000000C0">
      <w:pPr>
        <w:numPr>
          <w:ilvl w:val="0"/>
          <w:numId w:val="15"/>
        </w:numPr>
        <w:spacing w:after="0" w:afterAutospacing="0" w:before="240" w:lineRule="auto"/>
        <w:ind w:left="720" w:hanging="360"/>
        <w:jc w:val="both"/>
      </w:pPr>
      <w:r w:rsidDel="00000000" w:rsidR="00000000" w:rsidRPr="00000000">
        <w:rPr>
          <w:rtl w:val="0"/>
        </w:rPr>
        <w:t xml:space="preserve">BlackRock’s </w:t>
      </w:r>
      <w:r w:rsidDel="00000000" w:rsidR="00000000" w:rsidRPr="00000000">
        <w:rPr>
          <w:b w:val="1"/>
          <w:bCs w:val="1"/>
          <w:rtl w:val="0"/>
        </w:rPr>
        <w:t xml:space="preserve">heavily equity- and fixed-income-weighted</w:t>
      </w:r>
      <w:r w:rsidDel="00000000" w:rsidR="00000000" w:rsidRPr="00000000">
        <w:rPr>
          <w:rtl w:val="0"/>
        </w:rPr>
        <w:t xml:space="preserve"> long-term AUM, with a meaningful but smaller alternatives book and a sizable cash management franchise.</w:t>
        <w:br w:type="textWrapping"/>
      </w:r>
      <w:r w:rsidDel="00000000" w:rsidR="00000000" w:rsidRPr="00000000">
        <w:rPr>
          <w:rtl w:val="0"/>
        </w:rPr>
      </w:r>
    </w:p>
    <w:p w:rsidR="00000000" w:rsidDel="00000000" w:rsidP="00000000" w:rsidRDefault="00000000" w:rsidRPr="00000000" w14:paraId="000000C1">
      <w:pPr>
        <w:numPr>
          <w:ilvl w:val="0"/>
          <w:numId w:val="15"/>
        </w:numPr>
        <w:spacing w:after="0" w:afterAutospacing="0" w:before="0" w:beforeAutospacing="0" w:lineRule="auto"/>
        <w:ind w:left="720" w:hanging="360"/>
        <w:jc w:val="both"/>
      </w:pPr>
      <w:r w:rsidDel="00000000" w:rsidR="00000000" w:rsidRPr="00000000">
        <w:rPr>
          <w:rtl w:val="0"/>
        </w:rPr>
        <w:t xml:space="preserve">State Street’s </w:t>
      </w:r>
      <w:r w:rsidDel="00000000" w:rsidR="00000000" w:rsidRPr="00000000">
        <w:rPr>
          <w:b w:val="1"/>
          <w:bCs w:val="1"/>
          <w:rtl w:val="0"/>
        </w:rPr>
        <w:t xml:space="preserve">core strength in indexed equity and fixed income</w:t>
      </w:r>
      <w:r w:rsidDel="00000000" w:rsidR="00000000" w:rsidRPr="00000000">
        <w:rPr>
          <w:rtl w:val="0"/>
        </w:rPr>
        <w:t xml:space="preserve">, plus a growing multi-asset and alternatives presence, but with cash playing an important role given its institutional focus.</w:t>
        <w:br w:type="textWrapping"/>
      </w:r>
      <w:r w:rsidDel="00000000" w:rsidR="00000000" w:rsidRPr="00000000">
        <w:rPr>
          <w:rtl w:val="0"/>
        </w:rPr>
      </w:r>
    </w:p>
    <w:p w:rsidR="00000000" w:rsidDel="00000000" w:rsidP="00000000" w:rsidRDefault="00000000" w:rsidRPr="00000000" w14:paraId="000000C2">
      <w:pPr>
        <w:numPr>
          <w:ilvl w:val="0"/>
          <w:numId w:val="15"/>
        </w:numPr>
        <w:spacing w:after="240" w:before="0" w:beforeAutospacing="0" w:lineRule="auto"/>
        <w:ind w:left="720" w:hanging="360"/>
        <w:jc w:val="both"/>
      </w:pPr>
      <w:r w:rsidDel="00000000" w:rsidR="00000000" w:rsidRPr="00000000">
        <w:rPr>
          <w:rtl w:val="0"/>
        </w:rPr>
        <w:t xml:space="preserve">Invesco’s diversified capability set, where ETFs &amp; Index, QQQ and Global Liquidity together form a crucial growth engine alongside fundamental active strategies.</w:t>
        <w:br w:type="textWrapping"/>
      </w:r>
    </w:p>
    <w:p w:rsidR="00000000" w:rsidDel="00000000" w:rsidP="00000000" w:rsidRDefault="00000000" w:rsidRPr="00000000" w14:paraId="000000C3">
      <w:pPr>
        <w:pStyle w:val="Heading3"/>
        <w:keepNext w:val="0"/>
        <w:keepLines w:val="0"/>
        <w:spacing w:before="280" w:lineRule="auto"/>
        <w:jc w:val="both"/>
        <w:rPr>
          <w:b w:val="1"/>
          <w:bCs w:val="1"/>
          <w:color w:val="000000"/>
          <w:sz w:val="26"/>
          <w:szCs w:val="26"/>
        </w:rPr>
      </w:pPr>
      <w:bookmarkStart w:colFirst="0" w:colLast="0" w:name="_m7m2an35034a" w:id="32"/>
      <w:bookmarkEnd w:id="32"/>
      <w:r w:rsidDel="00000000" w:rsidR="00000000" w:rsidRPr="00000000">
        <w:rPr>
          <w:b w:val="1"/>
          <w:bCs w:val="1"/>
          <w:color w:val="000000"/>
          <w:sz w:val="26"/>
          <w:szCs w:val="26"/>
          <w:rtl w:val="0"/>
        </w:rPr>
        <w:t xml:space="preserve">Role of Technology Platforms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Technology platforms are central to the competitive positioning of BlackRock and State Street:</w:t>
      </w:r>
    </w:p>
    <w:p w:rsidR="00000000" w:rsidDel="00000000" w:rsidP="00000000" w:rsidRDefault="00000000" w:rsidRPr="00000000" w14:paraId="000000C5">
      <w:pPr>
        <w:numPr>
          <w:ilvl w:val="0"/>
          <w:numId w:val="18"/>
        </w:numPr>
        <w:spacing w:after="0" w:afterAutospacing="0" w:before="240" w:lineRule="auto"/>
        <w:ind w:left="720" w:hanging="360"/>
        <w:jc w:val="both"/>
      </w:pPr>
      <w:r w:rsidDel="00000000" w:rsidR="00000000" w:rsidRPr="00000000">
        <w:rPr>
          <w:b w:val="1"/>
          <w:bCs w:val="1"/>
          <w:rtl w:val="0"/>
        </w:rPr>
        <w:t xml:space="preserve">BlackRock – Aladdin:</w:t>
        <w:br w:type="textWrapping"/>
      </w:r>
      <w:r w:rsidDel="00000000" w:rsidR="00000000" w:rsidRPr="00000000">
        <w:rPr>
          <w:rtl w:val="0"/>
        </w:rPr>
      </w:r>
    </w:p>
    <w:p w:rsidR="00000000" w:rsidDel="00000000" w:rsidP="00000000" w:rsidRDefault="00000000" w:rsidRPr="00000000" w14:paraId="000000C6">
      <w:pPr>
        <w:numPr>
          <w:ilvl w:val="1"/>
          <w:numId w:val="18"/>
        </w:numPr>
        <w:spacing w:after="0" w:before="0" w:lineRule="auto"/>
        <w:ind w:left="1440" w:hanging="360"/>
        <w:jc w:val="both"/>
      </w:pPr>
      <w:r w:rsidDel="00000000" w:rsidR="00000000" w:rsidRPr="00000000">
        <w:rPr>
          <w:rtl w:val="0"/>
        </w:rPr>
        <w:t xml:space="preserve">Has evolved from an internal risk system into a full enterprise platform for the investment community.</w:t>
      </w:r>
    </w:p>
    <w:p w:rsidR="00000000" w:rsidDel="00000000" w:rsidP="00000000" w:rsidRDefault="00000000" w:rsidRPr="00000000" w14:paraId="000000C7">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C8">
      <w:pPr>
        <w:numPr>
          <w:ilvl w:val="1"/>
          <w:numId w:val="18"/>
        </w:numPr>
        <w:spacing w:after="0" w:before="0" w:lineRule="auto"/>
        <w:ind w:left="1440" w:hanging="360"/>
        <w:jc w:val="both"/>
      </w:pPr>
      <w:r w:rsidDel="00000000" w:rsidR="00000000" w:rsidRPr="00000000">
        <w:rPr>
          <w:rtl w:val="0"/>
        </w:rPr>
        <w:t xml:space="preserve">Generates technology services revenue and supports BlackRock’s own operations across asset classes, increasingly extended into </w:t>
      </w:r>
      <w:r w:rsidDel="00000000" w:rsidR="00000000" w:rsidRPr="00000000">
        <w:rPr>
          <w:b w:val="1"/>
          <w:bCs w:val="1"/>
          <w:rtl w:val="0"/>
        </w:rPr>
        <w:t xml:space="preserve">private markets</w:t>
      </w:r>
      <w:r w:rsidDel="00000000" w:rsidR="00000000" w:rsidRPr="00000000">
        <w:rPr>
          <w:rtl w:val="0"/>
        </w:rPr>
        <w:t xml:space="preserve"> via eFront and the planned integration of Preqin data.</w:t>
      </w:r>
    </w:p>
    <w:p w:rsidR="00000000" w:rsidDel="00000000" w:rsidP="00000000" w:rsidRDefault="00000000" w:rsidRPr="00000000" w14:paraId="000000C9">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CA">
      <w:pPr>
        <w:numPr>
          <w:ilvl w:val="1"/>
          <w:numId w:val="18"/>
        </w:numPr>
        <w:spacing w:after="0" w:afterAutospacing="0" w:before="0" w:lineRule="auto"/>
        <w:ind w:left="1440" w:hanging="360"/>
        <w:jc w:val="both"/>
      </w:pPr>
      <w:r w:rsidDel="00000000" w:rsidR="00000000" w:rsidRPr="00000000">
        <w:rPr>
          <w:rtl w:val="0"/>
        </w:rPr>
        <w:t xml:space="preserve">The firm is investing in </w:t>
      </w:r>
      <w:r w:rsidDel="00000000" w:rsidR="00000000" w:rsidRPr="00000000">
        <w:rPr>
          <w:b w:val="1"/>
          <w:bCs w:val="1"/>
          <w:rtl w:val="0"/>
        </w:rPr>
        <w:t xml:space="preserve">“Aladdin AI copilots”</w:t>
      </w:r>
      <w:r w:rsidDel="00000000" w:rsidR="00000000" w:rsidRPr="00000000">
        <w:rPr>
          <w:rtl w:val="0"/>
        </w:rPr>
        <w:t xml:space="preserve"> and building an open ecosystem that connects Aladdin with other tools and providers.</w:t>
        <w:br w:type="textWrapping"/>
      </w:r>
    </w:p>
    <w:p w:rsidR="00000000" w:rsidDel="00000000" w:rsidP="00000000" w:rsidRDefault="00000000" w:rsidRPr="00000000" w14:paraId="000000CB">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State Street – Alpha:</w:t>
        <w:br w:type="textWrapping"/>
      </w:r>
      <w:r w:rsidDel="00000000" w:rsidR="00000000" w:rsidRPr="00000000">
        <w:rPr>
          <w:rtl w:val="0"/>
        </w:rPr>
      </w:r>
    </w:p>
    <w:p w:rsidR="00000000" w:rsidDel="00000000" w:rsidP="00000000" w:rsidRDefault="00000000" w:rsidRPr="00000000" w14:paraId="000000CC">
      <w:pPr>
        <w:numPr>
          <w:ilvl w:val="1"/>
          <w:numId w:val="18"/>
        </w:numPr>
        <w:spacing w:after="0" w:before="0" w:lineRule="auto"/>
        <w:ind w:left="1440" w:hanging="360"/>
        <w:jc w:val="both"/>
      </w:pPr>
      <w:r w:rsidDel="00000000" w:rsidR="00000000" w:rsidRPr="00000000">
        <w:rPr>
          <w:rtl w:val="0"/>
        </w:rPr>
        <w:t xml:space="preserve">Combines front-office capabilities (via Charles River Development) with State Street’s custody, fund accounting and data infrastructure.</w:t>
      </w:r>
    </w:p>
    <w:p w:rsidR="00000000" w:rsidDel="00000000" w:rsidP="00000000" w:rsidRDefault="00000000" w:rsidRPr="00000000" w14:paraId="000000CD">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CE">
      <w:pPr>
        <w:numPr>
          <w:ilvl w:val="1"/>
          <w:numId w:val="18"/>
        </w:numPr>
        <w:spacing w:after="0" w:before="0" w:lineRule="auto"/>
        <w:ind w:left="1440" w:hanging="360"/>
        <w:jc w:val="both"/>
      </w:pPr>
      <w:r w:rsidDel="00000000" w:rsidR="00000000" w:rsidRPr="00000000">
        <w:rPr>
          <w:rtl w:val="0"/>
        </w:rPr>
        <w:t xml:space="preserve">Designed to “automate and simplify the institutional investment process” across asset classes, particularly for complex portfolios and alternatives.</w:t>
      </w:r>
    </w:p>
    <w:p w:rsidR="00000000" w:rsidDel="00000000" w:rsidP="00000000" w:rsidRDefault="00000000" w:rsidRPr="00000000" w14:paraId="000000CF">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D0">
      <w:pPr>
        <w:numPr>
          <w:ilvl w:val="1"/>
          <w:numId w:val="18"/>
        </w:numPr>
        <w:spacing w:after="0" w:afterAutospacing="0" w:before="0" w:lineRule="auto"/>
        <w:ind w:left="1440" w:hanging="360"/>
        <w:jc w:val="both"/>
      </w:pPr>
      <w:r w:rsidDel="00000000" w:rsidR="00000000" w:rsidRPr="00000000">
        <w:rPr>
          <w:rtl w:val="0"/>
        </w:rPr>
        <w:t xml:space="preserve">Alpha is a key differentiator in winning and retaining large institutional relationships.</w:t>
        <w:br w:type="textWrapping"/>
      </w:r>
    </w:p>
    <w:p w:rsidR="00000000" w:rsidDel="00000000" w:rsidP="00000000" w:rsidRDefault="00000000" w:rsidRPr="00000000" w14:paraId="000000D1">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Invesco:</w:t>
        <w:br w:type="textWrapping"/>
      </w:r>
      <w:r w:rsidDel="00000000" w:rsidR="00000000" w:rsidRPr="00000000">
        <w:rPr>
          <w:rtl w:val="0"/>
        </w:rPr>
      </w:r>
    </w:p>
    <w:p w:rsidR="00000000" w:rsidDel="00000000" w:rsidP="00000000" w:rsidRDefault="00000000" w:rsidRPr="00000000" w14:paraId="000000D2">
      <w:pPr>
        <w:numPr>
          <w:ilvl w:val="1"/>
          <w:numId w:val="18"/>
        </w:numPr>
        <w:spacing w:after="0" w:before="0" w:lineRule="auto"/>
        <w:ind w:left="1440" w:hanging="360"/>
        <w:jc w:val="both"/>
      </w:pPr>
      <w:r w:rsidDel="00000000" w:rsidR="00000000" w:rsidRPr="00000000">
        <w:rPr>
          <w:rtl w:val="0"/>
        </w:rPr>
        <w:t xml:space="preserve">Does not market a standalone platform equivalent to Aladdin or Alpha.</w:t>
      </w:r>
    </w:p>
    <w:p w:rsidR="00000000" w:rsidDel="00000000" w:rsidP="00000000" w:rsidRDefault="00000000" w:rsidRPr="00000000" w14:paraId="000000D3">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D4">
      <w:pPr>
        <w:numPr>
          <w:ilvl w:val="1"/>
          <w:numId w:val="18"/>
        </w:numPr>
        <w:spacing w:after="0" w:before="0" w:lineRule="auto"/>
        <w:ind w:left="1440" w:hanging="360"/>
        <w:jc w:val="both"/>
      </w:pPr>
      <w:r w:rsidDel="00000000" w:rsidR="00000000" w:rsidRPr="00000000">
        <w:rPr>
          <w:rtl w:val="0"/>
        </w:rPr>
        <w:t xml:space="preserve">One of its four strategic priorities is to </w:t>
      </w:r>
      <w:r w:rsidDel="00000000" w:rsidR="00000000" w:rsidRPr="00000000">
        <w:rPr>
          <w:b w:val="1"/>
          <w:bCs w:val="1"/>
          <w:rtl w:val="0"/>
        </w:rPr>
        <w:t xml:space="preserve">“Embed next generation technology across all aspects of the business”</w:t>
      </w:r>
      <w:r w:rsidDel="00000000" w:rsidR="00000000" w:rsidRPr="00000000">
        <w:rPr>
          <w:rtl w:val="0"/>
        </w:rPr>
        <w:t xml:space="preserve">, focusing on internal efficiencies, investment process enhancements and improved client experience rather than selling technology externally.</w:t>
        <w:br w:type="textWrapping"/>
      </w:r>
    </w:p>
    <w:p w:rsidR="00000000" w:rsidDel="00000000" w:rsidP="00000000" w:rsidRDefault="00000000" w:rsidRPr="00000000" w14:paraId="000000D5">
      <w:pPr>
        <w:spacing w:after="0" w:before="0" w:lineRule="auto"/>
        <w:ind w:left="1440" w:firstLine="0"/>
        <w:jc w:val="both"/>
        <w:rPr/>
      </w:pPr>
      <w:r w:rsidDel="00000000" w:rsidR="00000000" w:rsidRPr="00000000">
        <w:rPr>
          <w:rtl w:val="0"/>
        </w:rPr>
      </w:r>
    </w:p>
    <w:p w:rsidR="00000000" w:rsidDel="00000000" w:rsidP="00000000" w:rsidRDefault="00000000" w:rsidRPr="00000000" w14:paraId="000000D6">
      <w:pPr>
        <w:spacing w:after="0" w:before="0" w:lineRule="auto"/>
        <w:ind w:left="1440" w:firstLine="0"/>
        <w:jc w:val="both"/>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b w:val="1"/>
          <w:bCs w:val="1"/>
          <w:color w:val="000000"/>
          <w:sz w:val="26"/>
          <w:szCs w:val="26"/>
        </w:rPr>
      </w:pPr>
      <w:bookmarkStart w:colFirst="0" w:colLast="0" w:name="_nq7dbu9qqveq" w:id="33"/>
      <w:bookmarkEnd w:id="33"/>
      <w:r w:rsidDel="00000000" w:rsidR="00000000" w:rsidRPr="00000000">
        <w:rPr>
          <w:b w:val="1"/>
          <w:bCs w:val="1"/>
          <w:color w:val="000000"/>
          <w:sz w:val="26"/>
          <w:szCs w:val="26"/>
          <w:rtl w:val="0"/>
        </w:rPr>
        <w:t xml:space="preserve">Offerings in High-Growth &amp; Specialized Areas</w:t>
      </w:r>
    </w:p>
    <w:p w:rsidR="00000000" w:rsidDel="00000000" w:rsidP="00000000" w:rsidRDefault="00000000" w:rsidRPr="00000000" w14:paraId="000000D8">
      <w:pPr>
        <w:numPr>
          <w:ilvl w:val="0"/>
          <w:numId w:val="14"/>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is making a sizeable, acquisition-led push into </w:t>
      </w:r>
      <w:r w:rsidDel="00000000" w:rsidR="00000000" w:rsidRPr="00000000">
        <w:rPr>
          <w:b w:val="1"/>
          <w:bCs w:val="1"/>
          <w:rtl w:val="0"/>
        </w:rPr>
        <w:t xml:space="preserve">private markets</w:t>
      </w:r>
      <w:r w:rsidDel="00000000" w:rsidR="00000000" w:rsidRPr="00000000">
        <w:rPr>
          <w:rtl w:val="0"/>
        </w:rPr>
        <w:t xml:space="preserve">, including infrastructure (GIP), private credit (HPS) and private markets data and analytics (Preqin).</w:t>
        <w:br w:type="textWrapping"/>
      </w:r>
      <w:r w:rsidDel="00000000" w:rsidR="00000000" w:rsidRPr="00000000">
        <w:rPr>
          <w:rtl w:val="0"/>
        </w:rPr>
      </w:r>
    </w:p>
    <w:p w:rsidR="00000000" w:rsidDel="00000000" w:rsidP="00000000" w:rsidRDefault="00000000" w:rsidRPr="00000000" w14:paraId="000000D9">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positions itself primarily as a </w:t>
      </w:r>
      <w:r w:rsidDel="00000000" w:rsidR="00000000" w:rsidRPr="00000000">
        <w:rPr>
          <w:b w:val="1"/>
          <w:bCs w:val="1"/>
          <w:rtl w:val="0"/>
        </w:rPr>
        <w:t xml:space="preserve">servicer of alternatives</w:t>
      </w:r>
      <w:r w:rsidDel="00000000" w:rsidR="00000000" w:rsidRPr="00000000">
        <w:rPr>
          <w:rtl w:val="0"/>
        </w:rPr>
        <w:t xml:space="preserve">, emphasizing wealth servicing and alternative investment management solutions powered by Alpha.</w:t>
        <w:br w:type="textWrapping"/>
      </w:r>
      <w:r w:rsidDel="00000000" w:rsidR="00000000" w:rsidRPr="00000000">
        <w:rPr>
          <w:rtl w:val="0"/>
        </w:rPr>
      </w:r>
    </w:p>
    <w:p w:rsidR="00000000" w:rsidDel="00000000" w:rsidP="00000000" w:rsidRDefault="00000000" w:rsidRPr="00000000" w14:paraId="000000DA">
      <w:pPr>
        <w:numPr>
          <w:ilvl w:val="0"/>
          <w:numId w:val="14"/>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emphasizes </w:t>
      </w:r>
      <w:r w:rsidDel="00000000" w:rsidR="00000000" w:rsidRPr="00000000">
        <w:rPr>
          <w:b w:val="1"/>
          <w:bCs w:val="1"/>
          <w:rtl w:val="0"/>
        </w:rPr>
        <w:t xml:space="preserve">Private Markets ($128.5bn)</w:t>
      </w:r>
      <w:r w:rsidDel="00000000" w:rsidR="00000000" w:rsidRPr="00000000">
        <w:rPr>
          <w:rtl w:val="0"/>
        </w:rPr>
        <w:t xml:space="preserve"> and </w:t>
      </w:r>
      <w:r w:rsidDel="00000000" w:rsidR="00000000" w:rsidRPr="00000000">
        <w:rPr>
          <w:b w:val="1"/>
          <w:bCs w:val="1"/>
          <w:rtl w:val="0"/>
        </w:rPr>
        <w:t xml:space="preserve">Global Liquidity ($189.4bn)</w:t>
      </w:r>
      <w:r w:rsidDel="00000000" w:rsidR="00000000" w:rsidRPr="00000000">
        <w:rPr>
          <w:rtl w:val="0"/>
        </w:rPr>
        <w:t xml:space="preserve"> capabilities as part of a diversified set of strategies, but at a smaller scale than BlackRock’s alternatives business.</w:t>
      </w:r>
    </w:p>
    <w:p w:rsidR="00000000" w:rsidDel="00000000" w:rsidP="00000000" w:rsidRDefault="00000000" w:rsidRPr="00000000" w14:paraId="000000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jc w:val="both"/>
        <w:rPr>
          <w:b w:val="1"/>
          <w:bCs w:val="1"/>
          <w:sz w:val="30"/>
          <w:szCs w:val="30"/>
        </w:rPr>
      </w:pPr>
      <w:bookmarkStart w:colFirst="0" w:colLast="0" w:name="_x6muzf8cb3by" w:id="34"/>
      <w:bookmarkEnd w:id="34"/>
      <w:r w:rsidDel="00000000" w:rsidR="00000000" w:rsidRPr="00000000">
        <w:rPr>
          <w:b w:val="1"/>
          <w:bCs w:val="1"/>
          <w:sz w:val="30"/>
          <w:szCs w:val="30"/>
          <w:rtl w:val="0"/>
        </w:rPr>
        <w:t xml:space="preserve">5.0 Client Mix &amp; Distribution Channels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Understanding a firm's client base and distribution strategy is crucial to assessing market penetration and revenue stability.</w:t>
      </w:r>
    </w:p>
    <w:p w:rsidR="00000000" w:rsidDel="00000000" w:rsidP="00000000" w:rsidRDefault="00000000" w:rsidRPr="00000000" w14:paraId="000000DE">
      <w:pPr>
        <w:pStyle w:val="Heading3"/>
        <w:keepNext w:val="0"/>
        <w:keepLines w:val="0"/>
        <w:spacing w:before="280" w:lineRule="auto"/>
        <w:jc w:val="both"/>
        <w:rPr>
          <w:b w:val="1"/>
          <w:bCs w:val="1"/>
          <w:color w:val="000000"/>
          <w:sz w:val="26"/>
          <w:szCs w:val="26"/>
        </w:rPr>
      </w:pPr>
      <w:bookmarkStart w:colFirst="0" w:colLast="0" w:name="_fwxnhd19d21a" w:id="35"/>
      <w:bookmarkEnd w:id="35"/>
      <w:r w:rsidDel="00000000" w:rsidR="00000000" w:rsidRPr="00000000">
        <w:rPr>
          <w:b w:val="1"/>
          <w:bCs w:val="1"/>
          <w:color w:val="000000"/>
          <w:sz w:val="26"/>
          <w:szCs w:val="26"/>
          <w:rtl w:val="0"/>
        </w:rPr>
        <w:t xml:space="preserve">Institutional vs. Retail Client Composition</w:t>
      </w:r>
    </w:p>
    <w:p w:rsidR="00000000" w:rsidDel="00000000" w:rsidP="00000000" w:rsidRDefault="00000000" w:rsidRPr="00000000" w14:paraId="000000DF">
      <w:pPr>
        <w:numPr>
          <w:ilvl w:val="0"/>
          <w:numId w:val="19"/>
        </w:numPr>
        <w:spacing w:after="0" w:afterAutospacing="0" w:before="240" w:lineRule="auto"/>
        <w:ind w:left="720" w:hanging="360"/>
        <w:jc w:val="both"/>
      </w:pPr>
      <w:r w:rsidDel="00000000" w:rsidR="00000000" w:rsidRPr="00000000">
        <w:rPr>
          <w:b w:val="1"/>
          <w:bCs w:val="1"/>
          <w:rtl w:val="0"/>
        </w:rPr>
        <w:t xml:space="preserve">BlackRock:</w:t>
        <w:br w:type="textWrapping"/>
      </w:r>
      <w:r w:rsidDel="00000000" w:rsidR="00000000" w:rsidRPr="00000000">
        <w:rPr>
          <w:rtl w:val="0"/>
        </w:rPr>
      </w:r>
    </w:p>
    <w:p w:rsidR="00000000" w:rsidDel="00000000" w:rsidP="00000000" w:rsidRDefault="00000000" w:rsidRPr="00000000" w14:paraId="000000E0">
      <w:pPr>
        <w:numPr>
          <w:ilvl w:val="1"/>
          <w:numId w:val="19"/>
        </w:numPr>
        <w:spacing w:after="0" w:afterAutospacing="0" w:before="0" w:beforeAutospacing="0" w:lineRule="auto"/>
        <w:ind w:left="1440" w:hanging="360"/>
        <w:jc w:val="both"/>
      </w:pPr>
      <w:r w:rsidDel="00000000" w:rsidR="00000000" w:rsidRPr="00000000">
        <w:rPr>
          <w:rtl w:val="0"/>
        </w:rPr>
        <w:t xml:space="preserve">Long-term AUM is diversified across </w:t>
      </w:r>
      <w:r w:rsidDel="00000000" w:rsidR="00000000" w:rsidRPr="00000000">
        <w:rPr>
          <w:b w:val="1"/>
          <w:bCs w:val="1"/>
          <w:rtl w:val="0"/>
        </w:rPr>
        <w:t xml:space="preserve">Retail</w:t>
      </w:r>
      <w:r w:rsidDel="00000000" w:rsidR="00000000" w:rsidRPr="00000000">
        <w:rPr>
          <w:rtl w:val="0"/>
        </w:rPr>
        <w:t xml:space="preserve">, </w:t>
      </w:r>
      <w:r w:rsidDel="00000000" w:rsidR="00000000" w:rsidRPr="00000000">
        <w:rPr>
          <w:b w:val="1"/>
          <w:bCs w:val="1"/>
          <w:rtl w:val="0"/>
        </w:rPr>
        <w:t xml:space="preserve">ETFs</w:t>
      </w:r>
      <w:r w:rsidDel="00000000" w:rsidR="00000000" w:rsidRPr="00000000">
        <w:rPr>
          <w:rtl w:val="0"/>
        </w:rPr>
        <w:t xml:space="preserve"> and </w:t>
      </w:r>
      <w:r w:rsidDel="00000000" w:rsidR="00000000" w:rsidRPr="00000000">
        <w:rPr>
          <w:b w:val="1"/>
          <w:bCs w:val="1"/>
          <w:rtl w:val="0"/>
        </w:rPr>
        <w:t xml:space="preserve">Institutional</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E1">
      <w:pPr>
        <w:numPr>
          <w:ilvl w:val="2"/>
          <w:numId w:val="19"/>
        </w:numPr>
        <w:spacing w:after="0" w:afterAutospacing="0" w:before="0" w:beforeAutospacing="0" w:lineRule="auto"/>
        <w:ind w:left="2160" w:hanging="360"/>
        <w:jc w:val="both"/>
      </w:pPr>
      <w:r w:rsidDel="00000000" w:rsidR="00000000" w:rsidRPr="00000000">
        <w:rPr>
          <w:rtl w:val="0"/>
        </w:rPr>
        <w:t xml:space="preserve">Retail long-term AUM: just over </w:t>
      </w:r>
      <w:r w:rsidDel="00000000" w:rsidR="00000000" w:rsidRPr="00000000">
        <w:rPr>
          <w:b w:val="1"/>
          <w:bCs w:val="1"/>
          <w:rtl w:val="0"/>
        </w:rPr>
        <w:t xml:space="preserve">$1.0 trillion</w:t>
      </w:r>
      <w:r w:rsidDel="00000000" w:rsidR="00000000" w:rsidRPr="00000000">
        <w:rPr>
          <w:rtl w:val="0"/>
        </w:rPr>
        <w:t xml:space="preserve">.</w:t>
      </w:r>
    </w:p>
    <w:p w:rsidR="00000000" w:rsidDel="00000000" w:rsidP="00000000" w:rsidRDefault="00000000" w:rsidRPr="00000000" w14:paraId="000000E2">
      <w:pPr>
        <w:numPr>
          <w:ilvl w:val="2"/>
          <w:numId w:val="19"/>
        </w:numPr>
        <w:spacing w:after="0" w:afterAutospacing="0" w:before="0" w:beforeAutospacing="0" w:lineRule="auto"/>
        <w:ind w:left="2160" w:hanging="360"/>
        <w:jc w:val="both"/>
      </w:pPr>
      <w:r w:rsidDel="00000000" w:rsidR="00000000" w:rsidRPr="00000000">
        <w:rPr>
          <w:rtl w:val="0"/>
        </w:rPr>
        <w:t xml:space="preserve">ETFs (iShares) long-term AUM: approx. </w:t>
      </w:r>
      <w:r w:rsidDel="00000000" w:rsidR="00000000" w:rsidRPr="00000000">
        <w:rPr>
          <w:b w:val="1"/>
          <w:bCs w:val="1"/>
          <w:rtl w:val="0"/>
        </w:rPr>
        <w:t xml:space="preserve">$4.23 trillion</w:t>
      </w:r>
      <w:r w:rsidDel="00000000" w:rsidR="00000000" w:rsidRPr="00000000">
        <w:rPr>
          <w:rtl w:val="0"/>
        </w:rPr>
        <w:t xml:space="preserve">.</w:t>
      </w:r>
    </w:p>
    <w:p w:rsidR="00000000" w:rsidDel="00000000" w:rsidP="00000000" w:rsidRDefault="00000000" w:rsidRPr="00000000" w14:paraId="000000E3">
      <w:pPr>
        <w:numPr>
          <w:ilvl w:val="2"/>
          <w:numId w:val="19"/>
        </w:numPr>
        <w:spacing w:after="0" w:afterAutospacing="0" w:before="0" w:beforeAutospacing="0" w:lineRule="auto"/>
        <w:ind w:left="2160" w:hanging="360"/>
        <w:jc w:val="both"/>
      </w:pPr>
      <w:r w:rsidDel="00000000" w:rsidR="00000000" w:rsidRPr="00000000">
        <w:rPr>
          <w:rtl w:val="0"/>
        </w:rPr>
        <w:t xml:space="preserve">Institutional long-term AUM (active + index): over </w:t>
      </w:r>
      <w:r w:rsidDel="00000000" w:rsidR="00000000" w:rsidRPr="00000000">
        <w:rPr>
          <w:b w:val="1"/>
          <w:bCs w:val="1"/>
          <w:rtl w:val="0"/>
        </w:rPr>
        <w:t xml:space="preserve">$5.3 trillion</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E4">
      <w:pPr>
        <w:numPr>
          <w:ilvl w:val="1"/>
          <w:numId w:val="19"/>
        </w:numPr>
        <w:spacing w:after="0" w:afterAutospacing="0" w:before="0" w:beforeAutospacing="0" w:lineRule="auto"/>
        <w:ind w:left="1440" w:hanging="360"/>
        <w:jc w:val="both"/>
      </w:pPr>
      <w:r w:rsidDel="00000000" w:rsidR="00000000" w:rsidRPr="00000000">
        <w:rPr>
          <w:rtl w:val="0"/>
        </w:rPr>
        <w:t xml:space="preserve">This spread allows BlackRock to capture flows across all investor channels.</w:t>
        <w:br w:type="textWrapping"/>
      </w:r>
      <w:r w:rsidDel="00000000" w:rsidR="00000000" w:rsidRPr="00000000">
        <w:rPr>
          <w:rtl w:val="0"/>
        </w:rPr>
      </w:r>
    </w:p>
    <w:p w:rsidR="00000000" w:rsidDel="00000000" w:rsidP="00000000" w:rsidRDefault="00000000" w:rsidRPr="00000000" w14:paraId="000000E5">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Invesco:</w:t>
        <w:br w:type="textWrapping"/>
      </w:r>
      <w:r w:rsidDel="00000000" w:rsidR="00000000" w:rsidRPr="00000000">
        <w:rPr>
          <w:rtl w:val="0"/>
        </w:rPr>
      </w:r>
    </w:p>
    <w:p w:rsidR="00000000" w:rsidDel="00000000" w:rsidP="00000000" w:rsidRDefault="00000000" w:rsidRPr="00000000" w14:paraId="000000E6">
      <w:pPr>
        <w:numPr>
          <w:ilvl w:val="1"/>
          <w:numId w:val="19"/>
        </w:numPr>
        <w:spacing w:after="0" w:afterAutospacing="0" w:before="0" w:beforeAutospacing="0" w:lineRule="auto"/>
        <w:ind w:left="1440" w:hanging="360"/>
        <w:jc w:val="both"/>
      </w:pPr>
      <w:r w:rsidDel="00000000" w:rsidR="00000000" w:rsidRPr="00000000">
        <w:rPr>
          <w:rtl w:val="0"/>
        </w:rPr>
        <w:t xml:space="preserve">By distribution channel, AUM at Dec 31, 2024:</w:t>
        <w:br w:type="textWrapping"/>
      </w:r>
      <w:r w:rsidDel="00000000" w:rsidR="00000000" w:rsidRPr="00000000">
        <w:rPr>
          <w:rtl w:val="0"/>
        </w:rPr>
      </w:r>
    </w:p>
    <w:p w:rsidR="00000000" w:rsidDel="00000000" w:rsidP="00000000" w:rsidRDefault="00000000" w:rsidRPr="00000000" w14:paraId="000000E7">
      <w:pPr>
        <w:numPr>
          <w:ilvl w:val="2"/>
          <w:numId w:val="19"/>
        </w:numPr>
        <w:spacing w:after="0" w:afterAutospacing="0" w:before="0" w:beforeAutospacing="0" w:lineRule="auto"/>
        <w:ind w:left="2160" w:hanging="360"/>
        <w:jc w:val="both"/>
      </w:pPr>
      <w:r w:rsidDel="00000000" w:rsidR="00000000" w:rsidRPr="00000000">
        <w:rPr>
          <w:b w:val="1"/>
          <w:bCs w:val="1"/>
          <w:rtl w:val="0"/>
        </w:rPr>
        <w:t xml:space="preserve">Retail:</w:t>
      </w:r>
      <w:r w:rsidDel="00000000" w:rsidR="00000000" w:rsidRPr="00000000">
        <w:rPr>
          <w:rtl w:val="0"/>
        </w:rPr>
        <w:t xml:space="preserve"> </w:t>
      </w:r>
      <w:r w:rsidDel="00000000" w:rsidR="00000000" w:rsidRPr="00000000">
        <w:rPr>
          <w:b w:val="1"/>
          <w:bCs w:val="1"/>
          <w:rtl w:val="0"/>
        </w:rPr>
        <w:t xml:space="preserve">$1,265.6 billion</w:t>
      </w:r>
    </w:p>
    <w:p w:rsidR="00000000" w:rsidDel="00000000" w:rsidP="00000000" w:rsidRDefault="00000000" w:rsidRPr="00000000" w14:paraId="000000E8">
      <w:pPr>
        <w:numPr>
          <w:ilvl w:val="2"/>
          <w:numId w:val="19"/>
        </w:numPr>
        <w:spacing w:after="0" w:afterAutospacing="0" w:before="0" w:beforeAutospacing="0" w:lineRule="auto"/>
        <w:ind w:left="2160" w:hanging="360"/>
        <w:jc w:val="both"/>
      </w:pPr>
      <w:r w:rsidDel="00000000" w:rsidR="00000000" w:rsidRPr="00000000">
        <w:rPr>
          <w:b w:val="1"/>
          <w:bCs w:val="1"/>
          <w:rtl w:val="0"/>
        </w:rPr>
        <w:t xml:space="preserve">Institutional:</w:t>
      </w:r>
      <w:r w:rsidDel="00000000" w:rsidR="00000000" w:rsidRPr="00000000">
        <w:rPr>
          <w:rtl w:val="0"/>
        </w:rPr>
        <w:t xml:space="preserve"> </w:t>
      </w:r>
      <w:r w:rsidDel="00000000" w:rsidR="00000000" w:rsidRPr="00000000">
        <w:rPr>
          <w:b w:val="1"/>
          <w:bCs w:val="1"/>
          <w:rtl w:val="0"/>
        </w:rPr>
        <w:t xml:space="preserve">$580.4 billion</w:t>
      </w:r>
    </w:p>
    <w:p w:rsidR="00000000" w:rsidDel="00000000" w:rsidP="00000000" w:rsidRDefault="00000000" w:rsidRPr="00000000" w14:paraId="000000E9">
      <w:pPr>
        <w:numPr>
          <w:ilvl w:val="2"/>
          <w:numId w:val="19"/>
        </w:numPr>
        <w:spacing w:after="0" w:afterAutospacing="0" w:before="0" w:beforeAutospacing="0" w:lineRule="auto"/>
        <w:ind w:left="2160" w:hanging="360"/>
        <w:jc w:val="both"/>
      </w:pPr>
      <w:r w:rsidDel="00000000" w:rsidR="00000000" w:rsidRPr="00000000">
        <w:rPr>
          <w:b w:val="1"/>
          <w:bCs w:val="1"/>
          <w:rtl w:val="0"/>
        </w:rPr>
        <w:t xml:space="preserve">Total:</w:t>
      </w:r>
      <w:r w:rsidDel="00000000" w:rsidR="00000000" w:rsidRPr="00000000">
        <w:rPr>
          <w:rtl w:val="0"/>
        </w:rPr>
        <w:t xml:space="preserve"> </w:t>
      </w:r>
      <w:r w:rsidDel="00000000" w:rsidR="00000000" w:rsidRPr="00000000">
        <w:rPr>
          <w:b w:val="1"/>
          <w:bCs w:val="1"/>
          <w:rtl w:val="0"/>
        </w:rPr>
        <w:t xml:space="preserve">$1,846.0 billion</w:t>
        <w:br w:type="textWrapping"/>
      </w:r>
      <w:r w:rsidDel="00000000" w:rsidR="00000000" w:rsidRPr="00000000">
        <w:rPr>
          <w:rtl w:val="0"/>
        </w:rPr>
      </w:r>
    </w:p>
    <w:p w:rsidR="00000000" w:rsidDel="00000000" w:rsidP="00000000" w:rsidRDefault="00000000" w:rsidRPr="00000000" w14:paraId="000000EA">
      <w:pPr>
        <w:numPr>
          <w:ilvl w:val="1"/>
          <w:numId w:val="19"/>
        </w:numPr>
        <w:spacing w:after="0" w:before="0" w:lineRule="auto"/>
        <w:ind w:left="1440" w:hanging="360"/>
        <w:jc w:val="both"/>
      </w:pPr>
      <w:r w:rsidDel="00000000" w:rsidR="00000000" w:rsidRPr="00000000">
        <w:rPr>
          <w:rtl w:val="0"/>
        </w:rPr>
        <w:t xml:space="preserve">This relatively balanced split underscores its positioning as a comprehensive manager serving both retail and institutional clients globally.</w:t>
      </w:r>
    </w:p>
    <w:p w:rsidR="00000000" w:rsidDel="00000000" w:rsidP="00000000" w:rsidRDefault="00000000" w:rsidRPr="00000000" w14:paraId="000000EB">
      <w:pPr>
        <w:spacing w:after="0" w:before="0" w:lineRule="auto"/>
        <w:ind w:left="1440" w:firstLine="0"/>
        <w:jc w:val="both"/>
        <w:rPr>
          <w:sz w:val="10"/>
          <w:szCs w:val="10"/>
        </w:rPr>
      </w:pPr>
      <w:r w:rsidDel="00000000" w:rsidR="00000000" w:rsidRPr="00000000">
        <w:rPr>
          <w:rtl w:val="0"/>
        </w:rPr>
      </w:r>
    </w:p>
    <w:p w:rsidR="00000000" w:rsidDel="00000000" w:rsidP="00000000" w:rsidRDefault="00000000" w:rsidRPr="00000000" w14:paraId="000000EC">
      <w:pPr>
        <w:numPr>
          <w:ilvl w:val="0"/>
          <w:numId w:val="19"/>
        </w:numPr>
        <w:spacing w:after="0" w:afterAutospacing="0" w:before="0" w:lineRule="auto"/>
        <w:ind w:left="720" w:hanging="360"/>
        <w:jc w:val="both"/>
      </w:pPr>
      <w:r w:rsidDel="00000000" w:rsidR="00000000" w:rsidRPr="00000000">
        <w:rPr>
          <w:b w:val="1"/>
          <w:bCs w:val="1"/>
          <w:rtl w:val="0"/>
        </w:rPr>
        <w:t xml:space="preserve">State Street:</w:t>
        <w:br w:type="textWrapping"/>
      </w:r>
      <w:r w:rsidDel="00000000" w:rsidR="00000000" w:rsidRPr="00000000">
        <w:rPr>
          <w:rtl w:val="0"/>
        </w:rPr>
      </w:r>
    </w:p>
    <w:p w:rsidR="00000000" w:rsidDel="00000000" w:rsidP="00000000" w:rsidRDefault="00000000" w:rsidRPr="00000000" w14:paraId="000000ED">
      <w:pPr>
        <w:numPr>
          <w:ilvl w:val="1"/>
          <w:numId w:val="19"/>
        </w:numPr>
        <w:spacing w:after="0" w:afterAutospacing="0" w:before="0" w:beforeAutospacing="0" w:lineRule="auto"/>
        <w:ind w:left="1440" w:hanging="360"/>
        <w:jc w:val="both"/>
      </w:pPr>
      <w:r w:rsidDel="00000000" w:rsidR="00000000" w:rsidRPr="00000000">
        <w:rPr>
          <w:rtl w:val="0"/>
        </w:rPr>
        <w:t xml:space="preserve">The group’s business is overwhelmingly </w:t>
      </w:r>
      <w:r w:rsidDel="00000000" w:rsidR="00000000" w:rsidRPr="00000000">
        <w:rPr>
          <w:b w:val="1"/>
          <w:bCs w:val="1"/>
          <w:rtl w:val="0"/>
        </w:rPr>
        <w:t xml:space="preserve">institutional</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EE">
      <w:pPr>
        <w:numPr>
          <w:ilvl w:val="1"/>
          <w:numId w:val="19"/>
        </w:numPr>
        <w:spacing w:after="0" w:afterAutospacing="0" w:before="0" w:beforeAutospacing="0" w:lineRule="auto"/>
        <w:ind w:left="1440" w:hanging="360"/>
        <w:jc w:val="both"/>
      </w:pPr>
      <w:r w:rsidDel="00000000" w:rsidR="00000000" w:rsidRPr="00000000">
        <w:rPr>
          <w:rtl w:val="0"/>
        </w:rPr>
        <w:t xml:space="preserve">Its clients include mutual funds, collective investment funds, pension plans, insurance companies, official institutions, and large investment managers.</w:t>
        <w:br w:type="textWrapping"/>
      </w:r>
      <w:r w:rsidDel="00000000" w:rsidR="00000000" w:rsidRPr="00000000">
        <w:rPr>
          <w:rtl w:val="0"/>
        </w:rPr>
      </w:r>
    </w:p>
    <w:p w:rsidR="00000000" w:rsidDel="00000000" w:rsidP="00000000" w:rsidRDefault="00000000" w:rsidRPr="00000000" w14:paraId="000000EF">
      <w:pPr>
        <w:numPr>
          <w:ilvl w:val="1"/>
          <w:numId w:val="19"/>
        </w:numPr>
        <w:spacing w:after="240" w:before="0" w:beforeAutospacing="0" w:lineRule="auto"/>
        <w:ind w:left="1440" w:hanging="360"/>
        <w:jc w:val="both"/>
      </w:pPr>
      <w:r w:rsidDel="00000000" w:rsidR="00000000" w:rsidRPr="00000000">
        <w:rPr>
          <w:rtl w:val="0"/>
        </w:rPr>
        <w:t xml:space="preserve">While SSGA does offer retail-oriented products like SPDR ETFs, the overall client base is institutionally dominated.</w:t>
        <w:br w:type="textWrapping"/>
      </w:r>
    </w:p>
    <w:p w:rsidR="00000000" w:rsidDel="00000000" w:rsidP="00000000" w:rsidRDefault="00000000" w:rsidRPr="00000000" w14:paraId="000000F0">
      <w:pPr>
        <w:pStyle w:val="Heading3"/>
        <w:keepNext w:val="0"/>
        <w:keepLines w:val="0"/>
        <w:spacing w:before="280" w:lineRule="auto"/>
        <w:jc w:val="both"/>
        <w:rPr>
          <w:b w:val="1"/>
          <w:bCs w:val="1"/>
          <w:color w:val="000000"/>
          <w:sz w:val="26"/>
          <w:szCs w:val="26"/>
        </w:rPr>
      </w:pPr>
      <w:bookmarkStart w:colFirst="0" w:colLast="0" w:name="_58xj9c8tpp1d" w:id="36"/>
      <w:bookmarkEnd w:id="36"/>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jc w:val="both"/>
        <w:rPr>
          <w:b w:val="1"/>
          <w:bCs w:val="1"/>
          <w:color w:val="000000"/>
          <w:sz w:val="26"/>
          <w:szCs w:val="26"/>
        </w:rPr>
      </w:pPr>
      <w:bookmarkStart w:colFirst="0" w:colLast="0" w:name="_q1rw2pmgxfjr" w:id="37"/>
      <w:bookmarkEnd w:id="37"/>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jc w:val="both"/>
        <w:rPr>
          <w:b w:val="1"/>
          <w:bCs w:val="1"/>
          <w:color w:val="000000"/>
          <w:sz w:val="26"/>
          <w:szCs w:val="26"/>
        </w:rPr>
      </w:pPr>
      <w:bookmarkStart w:colFirst="0" w:colLast="0" w:name="_iknnj2de3684" w:id="38"/>
      <w:bookmarkEnd w:id="38"/>
      <w:r w:rsidDel="00000000" w:rsidR="00000000" w:rsidRPr="00000000">
        <w:rPr>
          <w:b w:val="1"/>
          <w:bCs w:val="1"/>
          <w:color w:val="000000"/>
          <w:sz w:val="26"/>
          <w:szCs w:val="26"/>
          <w:rtl w:val="0"/>
        </w:rPr>
        <w:t xml:space="preserve">Primary Distribution Channels</w:t>
      </w:r>
    </w:p>
    <w:p w:rsidR="00000000" w:rsidDel="00000000" w:rsidP="00000000" w:rsidRDefault="00000000" w:rsidRPr="00000000" w14:paraId="000000F3">
      <w:pPr>
        <w:numPr>
          <w:ilvl w:val="0"/>
          <w:numId w:val="7"/>
        </w:numPr>
        <w:spacing w:after="0" w:afterAutospacing="0" w:before="240" w:lineRule="auto"/>
        <w:ind w:left="720" w:hanging="360"/>
        <w:jc w:val="both"/>
      </w:pPr>
      <w:r w:rsidDel="00000000" w:rsidR="00000000" w:rsidRPr="00000000">
        <w:rPr>
          <w:b w:val="1"/>
          <w:bCs w:val="1"/>
          <w:rtl w:val="0"/>
        </w:rPr>
        <w:t xml:space="preserve">BlackRock &amp; Invesco</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F4">
      <w:pPr>
        <w:numPr>
          <w:ilvl w:val="1"/>
          <w:numId w:val="7"/>
        </w:numPr>
        <w:spacing w:after="0" w:afterAutospacing="0" w:before="0" w:beforeAutospacing="0" w:lineRule="auto"/>
        <w:ind w:left="1440" w:hanging="360"/>
        <w:jc w:val="both"/>
      </w:pPr>
      <w:r w:rsidDel="00000000" w:rsidR="00000000" w:rsidRPr="00000000">
        <w:rPr>
          <w:rtl w:val="0"/>
        </w:rPr>
        <w:t xml:space="preserve">For retail and wealth, they primarily distribute through </w:t>
      </w:r>
      <w:r w:rsidDel="00000000" w:rsidR="00000000" w:rsidRPr="00000000">
        <w:rPr>
          <w:b w:val="1"/>
          <w:bCs w:val="1"/>
          <w:rtl w:val="0"/>
        </w:rPr>
        <w:t xml:space="preserve">third-party intermediaries</w:t>
      </w:r>
      <w:r w:rsidDel="00000000" w:rsidR="00000000" w:rsidRPr="00000000">
        <w:rPr>
          <w:rtl w:val="0"/>
        </w:rPr>
        <w:t xml:space="preserve">—broker-dealers, banks, platforms, insurance companies and financial advisers.</w:t>
        <w:br w:type="textWrapping"/>
      </w:r>
      <w:r w:rsidDel="00000000" w:rsidR="00000000" w:rsidRPr="00000000">
        <w:rPr>
          <w:rtl w:val="0"/>
        </w:rPr>
      </w:r>
    </w:p>
    <w:p w:rsidR="00000000" w:rsidDel="00000000" w:rsidP="00000000" w:rsidRDefault="00000000" w:rsidRPr="00000000" w14:paraId="000000F5">
      <w:pPr>
        <w:numPr>
          <w:ilvl w:val="1"/>
          <w:numId w:val="7"/>
        </w:numPr>
        <w:spacing w:after="0" w:afterAutospacing="0" w:before="0" w:beforeAutospacing="0" w:lineRule="auto"/>
        <w:ind w:left="1440" w:hanging="360"/>
        <w:jc w:val="both"/>
      </w:pPr>
      <w:r w:rsidDel="00000000" w:rsidR="00000000" w:rsidRPr="00000000">
        <w:rPr>
          <w:rtl w:val="0"/>
        </w:rPr>
        <w:t xml:space="preserve">Institutional clients are typically covered via dedicated sales and relationship teams.</w:t>
        <w:br w:type="textWrapping"/>
      </w:r>
      <w:r w:rsidDel="00000000" w:rsidR="00000000" w:rsidRPr="00000000">
        <w:rPr>
          <w:rtl w:val="0"/>
        </w:rPr>
      </w:r>
    </w:p>
    <w:p w:rsidR="00000000" w:rsidDel="00000000" w:rsidP="00000000" w:rsidRDefault="00000000" w:rsidRPr="00000000" w14:paraId="000000F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F7">
      <w:pPr>
        <w:numPr>
          <w:ilvl w:val="1"/>
          <w:numId w:val="7"/>
        </w:numPr>
        <w:spacing w:after="240" w:before="0" w:beforeAutospacing="0" w:lineRule="auto"/>
        <w:ind w:left="1440" w:hanging="360"/>
        <w:jc w:val="both"/>
      </w:pPr>
      <w:r w:rsidDel="00000000" w:rsidR="00000000" w:rsidRPr="00000000">
        <w:rPr>
          <w:rtl w:val="0"/>
        </w:rPr>
        <w:t xml:space="preserve">Relies on </w:t>
      </w:r>
      <w:r w:rsidDel="00000000" w:rsidR="00000000" w:rsidRPr="00000000">
        <w:rPr>
          <w:b w:val="1"/>
          <w:bCs w:val="1"/>
          <w:rtl w:val="0"/>
        </w:rPr>
        <w:t xml:space="preserve">direct engagement with large institutional clients</w:t>
      </w:r>
      <w:r w:rsidDel="00000000" w:rsidR="00000000" w:rsidRPr="00000000">
        <w:rPr>
          <w:rtl w:val="0"/>
        </w:rPr>
        <w:t xml:space="preserve">, where it can deliver integrated packages of services: custody, administration, FX, lending, data and analytics, plus asset management through SSGA.</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In essence, BlackRock and Invesco operate broad, multi-channel distribution architectures, while State Street focuses on deep, high-touch institutional relationships.</w:t>
      </w:r>
    </w:p>
    <w:p w:rsidR="00000000" w:rsidDel="00000000" w:rsidP="00000000" w:rsidRDefault="00000000" w:rsidRPr="00000000" w14:paraId="000000F9">
      <w:pPr>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jc w:val="both"/>
        <w:rPr>
          <w:b w:val="1"/>
          <w:bCs w:val="1"/>
          <w:sz w:val="30"/>
          <w:szCs w:val="30"/>
        </w:rPr>
      </w:pPr>
      <w:bookmarkStart w:colFirst="0" w:colLast="0" w:name="_c1pk2q784de6" w:id="39"/>
      <w:bookmarkEnd w:id="39"/>
      <w:r w:rsidDel="00000000" w:rsidR="00000000" w:rsidRPr="00000000">
        <w:rPr>
          <w:b w:val="1"/>
          <w:bCs w:val="1"/>
          <w:sz w:val="30"/>
          <w:szCs w:val="30"/>
          <w:rtl w:val="0"/>
        </w:rPr>
        <w:t xml:space="preserve">6.0 Technology &amp; Innovation Assessment</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Technology has become a core strategic asset in asset management and servicing.</w:t>
      </w:r>
    </w:p>
    <w:p w:rsidR="00000000" w:rsidDel="00000000" w:rsidP="00000000" w:rsidRDefault="00000000" w:rsidRPr="00000000" w14:paraId="000000FC">
      <w:pPr>
        <w:pStyle w:val="Heading3"/>
        <w:keepNext w:val="0"/>
        <w:keepLines w:val="0"/>
        <w:spacing w:before="280" w:lineRule="auto"/>
        <w:jc w:val="both"/>
        <w:rPr>
          <w:b w:val="1"/>
          <w:bCs w:val="1"/>
          <w:color w:val="000000"/>
          <w:sz w:val="26"/>
          <w:szCs w:val="26"/>
        </w:rPr>
      </w:pPr>
      <w:bookmarkStart w:colFirst="0" w:colLast="0" w:name="_w7gave2k7aj0" w:id="40"/>
      <w:bookmarkEnd w:id="40"/>
      <w:r w:rsidDel="00000000" w:rsidR="00000000" w:rsidRPr="00000000">
        <w:rPr>
          <w:b w:val="1"/>
          <w:bCs w:val="1"/>
          <w:color w:val="000000"/>
          <w:sz w:val="26"/>
          <w:szCs w:val="26"/>
          <w:rtl w:val="0"/>
        </w:rPr>
        <w:t xml:space="preserve">The Strategic Importance of Proprietary Platforms</w:t>
      </w:r>
    </w:p>
    <w:p w:rsidR="00000000" w:rsidDel="00000000" w:rsidP="00000000" w:rsidRDefault="00000000" w:rsidRPr="00000000" w14:paraId="000000FD">
      <w:pPr>
        <w:numPr>
          <w:ilvl w:val="0"/>
          <w:numId w:val="33"/>
        </w:numPr>
        <w:spacing w:after="0" w:afterAutospacing="0" w:before="240" w:lineRule="auto"/>
        <w:ind w:left="720" w:hanging="360"/>
        <w:jc w:val="both"/>
      </w:pPr>
      <w:r w:rsidDel="00000000" w:rsidR="00000000" w:rsidRPr="00000000">
        <w:rPr>
          <w:b w:val="1"/>
          <w:bCs w:val="1"/>
          <w:rtl w:val="0"/>
        </w:rPr>
        <w:t xml:space="preserve">BlackRock – Aladdin</w:t>
        <w:br w:type="textWrapping"/>
      </w:r>
      <w:r w:rsidDel="00000000" w:rsidR="00000000" w:rsidRPr="00000000">
        <w:rPr>
          <w:rtl w:val="0"/>
        </w:rPr>
      </w:r>
    </w:p>
    <w:p w:rsidR="00000000" w:rsidDel="00000000" w:rsidP="00000000" w:rsidRDefault="00000000" w:rsidRPr="00000000" w14:paraId="000000FE">
      <w:pPr>
        <w:numPr>
          <w:ilvl w:val="1"/>
          <w:numId w:val="33"/>
        </w:numPr>
        <w:spacing w:after="0" w:afterAutospacing="0" w:before="0" w:beforeAutospacing="0" w:lineRule="auto"/>
        <w:ind w:left="1440" w:hanging="360"/>
        <w:jc w:val="both"/>
      </w:pPr>
      <w:r w:rsidDel="00000000" w:rsidR="00000000" w:rsidRPr="00000000">
        <w:rPr>
          <w:rtl w:val="0"/>
        </w:rPr>
        <w:t xml:space="preserve">Functions as BlackRock’s internal operating system and as a commercial platform for asset owners, asset managers and other institutions.</w:t>
        <w:br w:type="textWrapping"/>
      </w:r>
      <w:r w:rsidDel="00000000" w:rsidR="00000000" w:rsidRPr="00000000">
        <w:rPr>
          <w:rtl w:val="0"/>
        </w:rPr>
      </w:r>
    </w:p>
    <w:p w:rsidR="00000000" w:rsidDel="00000000" w:rsidP="00000000" w:rsidRDefault="00000000" w:rsidRPr="00000000" w14:paraId="000000FF">
      <w:pPr>
        <w:numPr>
          <w:ilvl w:val="1"/>
          <w:numId w:val="33"/>
        </w:numPr>
        <w:spacing w:after="0" w:afterAutospacing="0" w:before="0" w:beforeAutospacing="0" w:lineRule="auto"/>
        <w:ind w:left="1440" w:hanging="360"/>
        <w:jc w:val="both"/>
      </w:pPr>
      <w:r w:rsidDel="00000000" w:rsidR="00000000" w:rsidRPr="00000000">
        <w:rPr>
          <w:rtl w:val="0"/>
        </w:rPr>
        <w:t xml:space="preserve">Integration of private markets (via eFront and planned Preqin acquisition) and the development of AI-assisted tools signal a strategy to dominate </w:t>
      </w:r>
      <w:r w:rsidDel="00000000" w:rsidR="00000000" w:rsidRPr="00000000">
        <w:rPr>
          <w:b w:val="1"/>
          <w:bCs w:val="1"/>
          <w:rtl w:val="0"/>
        </w:rPr>
        <w:t xml:space="preserve">technology + data</w:t>
      </w:r>
      <w:r w:rsidDel="00000000" w:rsidR="00000000" w:rsidRPr="00000000">
        <w:rPr>
          <w:rtl w:val="0"/>
        </w:rPr>
        <w:t xml:space="preserve"> in both public and private markets.</w:t>
        <w:br w:type="textWrapping"/>
      </w:r>
      <w:r w:rsidDel="00000000" w:rsidR="00000000" w:rsidRPr="00000000">
        <w:rPr>
          <w:rtl w:val="0"/>
        </w:rPr>
      </w:r>
    </w:p>
    <w:p w:rsidR="00000000" w:rsidDel="00000000" w:rsidP="00000000" w:rsidRDefault="00000000" w:rsidRPr="00000000" w14:paraId="00000100">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State Street – Alpha</w:t>
        <w:br w:type="textWrapping"/>
      </w:r>
      <w:r w:rsidDel="00000000" w:rsidR="00000000" w:rsidRPr="00000000">
        <w:rPr>
          <w:rtl w:val="0"/>
        </w:rPr>
      </w:r>
    </w:p>
    <w:p w:rsidR="00000000" w:rsidDel="00000000" w:rsidP="00000000" w:rsidRDefault="00000000" w:rsidRPr="00000000" w14:paraId="00000101">
      <w:pPr>
        <w:numPr>
          <w:ilvl w:val="1"/>
          <w:numId w:val="33"/>
        </w:numPr>
        <w:spacing w:after="0" w:afterAutospacing="0" w:before="0" w:beforeAutospacing="0" w:lineRule="auto"/>
        <w:ind w:left="1440" w:hanging="360"/>
        <w:jc w:val="both"/>
      </w:pPr>
      <w:r w:rsidDel="00000000" w:rsidR="00000000" w:rsidRPr="00000000">
        <w:rPr>
          <w:rtl w:val="0"/>
        </w:rPr>
        <w:t xml:space="preserve">Alpha is the engine powering State Street’s promise of a “front-to-back” solution.</w:t>
        <w:br w:type="textWrapping"/>
      </w:r>
      <w:r w:rsidDel="00000000" w:rsidR="00000000" w:rsidRPr="00000000">
        <w:rPr>
          <w:rtl w:val="0"/>
        </w:rPr>
      </w:r>
    </w:p>
    <w:p w:rsidR="00000000" w:rsidDel="00000000" w:rsidP="00000000" w:rsidRDefault="00000000" w:rsidRPr="00000000" w14:paraId="00000102">
      <w:pPr>
        <w:numPr>
          <w:ilvl w:val="1"/>
          <w:numId w:val="33"/>
        </w:numPr>
        <w:spacing w:after="0" w:afterAutospacing="0" w:before="0" w:beforeAutospacing="0" w:lineRule="auto"/>
        <w:ind w:left="1440" w:hanging="360"/>
        <w:jc w:val="both"/>
      </w:pPr>
      <w:r w:rsidDel="00000000" w:rsidR="00000000" w:rsidRPr="00000000">
        <w:rPr>
          <w:rtl w:val="0"/>
        </w:rPr>
        <w:t xml:space="preserve">Integrates portfolio management, trading, post-trade processing, accounting and reporting, particularly valuable for multi-asset, multi-manager, and alternatives-heavy institutional portfolios.</w:t>
        <w:br w:type="textWrapping"/>
      </w:r>
      <w:r w:rsidDel="00000000" w:rsidR="00000000" w:rsidRPr="00000000">
        <w:rPr>
          <w:rtl w:val="0"/>
        </w:rPr>
      </w:r>
    </w:p>
    <w:p w:rsidR="00000000" w:rsidDel="00000000" w:rsidP="00000000" w:rsidRDefault="00000000" w:rsidRPr="00000000" w14:paraId="00000103">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Invesco</w:t>
        <w:br w:type="textWrapping"/>
      </w:r>
      <w:r w:rsidDel="00000000" w:rsidR="00000000" w:rsidRPr="00000000">
        <w:rPr>
          <w:rtl w:val="0"/>
        </w:rPr>
      </w:r>
    </w:p>
    <w:p w:rsidR="00000000" w:rsidDel="00000000" w:rsidP="00000000" w:rsidRDefault="00000000" w:rsidRPr="00000000" w14:paraId="00000104">
      <w:pPr>
        <w:numPr>
          <w:ilvl w:val="1"/>
          <w:numId w:val="33"/>
        </w:numPr>
        <w:spacing w:after="240" w:before="0" w:beforeAutospacing="0" w:lineRule="auto"/>
        <w:ind w:left="1440" w:hanging="360"/>
        <w:jc w:val="both"/>
      </w:pPr>
      <w:r w:rsidDel="00000000" w:rsidR="00000000" w:rsidRPr="00000000">
        <w:rPr>
          <w:rtl w:val="0"/>
        </w:rPr>
        <w:t xml:space="preserve">While it does not have a branded platform like Aladdin or Alpha, it emphasizes embedding </w:t>
      </w:r>
      <w:r w:rsidDel="00000000" w:rsidR="00000000" w:rsidRPr="00000000">
        <w:rPr>
          <w:b w:val="1"/>
          <w:bCs w:val="1"/>
          <w:rtl w:val="0"/>
        </w:rPr>
        <w:t xml:space="preserve">next-generation technology</w:t>
      </w:r>
      <w:r w:rsidDel="00000000" w:rsidR="00000000" w:rsidRPr="00000000">
        <w:rPr>
          <w:rtl w:val="0"/>
        </w:rPr>
        <w:t xml:space="preserve"> throughout investment, risk, operations, and client interfaces, including quantitative models and advanced analytics.</w:t>
        <w:br w:type="textWrapping"/>
      </w:r>
    </w:p>
    <w:p w:rsidR="00000000" w:rsidDel="00000000" w:rsidP="00000000" w:rsidRDefault="00000000" w:rsidRPr="00000000" w14:paraId="00000105">
      <w:pPr>
        <w:pStyle w:val="Heading3"/>
        <w:keepNext w:val="0"/>
        <w:keepLines w:val="0"/>
        <w:spacing w:before="280" w:lineRule="auto"/>
        <w:jc w:val="both"/>
        <w:rPr>
          <w:b w:val="1"/>
          <w:bCs w:val="1"/>
          <w:color w:val="000000"/>
          <w:sz w:val="26"/>
          <w:szCs w:val="26"/>
        </w:rPr>
      </w:pPr>
      <w:bookmarkStart w:colFirst="0" w:colLast="0" w:name="_jdlk0j1lybyr" w:id="41"/>
      <w:bookmarkEnd w:id="41"/>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jc w:val="both"/>
        <w:rPr>
          <w:b w:val="1"/>
          <w:bCs w:val="1"/>
          <w:color w:val="000000"/>
          <w:sz w:val="26"/>
          <w:szCs w:val="26"/>
        </w:rPr>
      </w:pPr>
      <w:bookmarkStart w:colFirst="0" w:colLast="0" w:name="_cw2lp8l8k65y" w:id="42"/>
      <w:bookmarkEnd w:id="42"/>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jc w:val="both"/>
        <w:rPr>
          <w:b w:val="1"/>
          <w:bCs w:val="1"/>
          <w:color w:val="000000"/>
          <w:sz w:val="26"/>
          <w:szCs w:val="26"/>
        </w:rPr>
      </w:pPr>
      <w:bookmarkStart w:colFirst="0" w:colLast="0" w:name="_2xowrkk231sh" w:id="43"/>
      <w:bookmarkEnd w:id="43"/>
      <w:r w:rsidDel="00000000" w:rsidR="00000000" w:rsidRPr="00000000">
        <w:rPr>
          <w:b w:val="1"/>
          <w:bCs w:val="1"/>
          <w:color w:val="000000"/>
          <w:sz w:val="26"/>
          <w:szCs w:val="26"/>
          <w:rtl w:val="0"/>
        </w:rPr>
        <w:t xml:space="preserve">Focus on Data Analytics and AI</w:t>
      </w:r>
    </w:p>
    <w:p w:rsidR="00000000" w:rsidDel="00000000" w:rsidP="00000000" w:rsidRDefault="00000000" w:rsidRPr="00000000" w14:paraId="00000108">
      <w:pPr>
        <w:numPr>
          <w:ilvl w:val="0"/>
          <w:numId w:val="16"/>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is explicit about building </w:t>
      </w:r>
      <w:r w:rsidDel="00000000" w:rsidR="00000000" w:rsidRPr="00000000">
        <w:rPr>
          <w:b w:val="1"/>
          <w:bCs w:val="1"/>
          <w:rtl w:val="0"/>
        </w:rPr>
        <w:t xml:space="preserve">“Aladdin AI copilots”</w:t>
      </w:r>
      <w:r w:rsidDel="00000000" w:rsidR="00000000" w:rsidRPr="00000000">
        <w:rPr>
          <w:rtl w:val="0"/>
        </w:rPr>
        <w:t xml:space="preserve"> and combining Aladdin with proprietary and acquired datasets (e.g., Preqin) to create a leading private markets data and analytics franchise.</w:t>
        <w:br w:type="textWrapping"/>
      </w:r>
      <w:r w:rsidDel="00000000" w:rsidR="00000000" w:rsidRPr="00000000">
        <w:rPr>
          <w:rtl w:val="0"/>
        </w:rPr>
      </w:r>
    </w:p>
    <w:p w:rsidR="00000000" w:rsidDel="00000000" w:rsidP="00000000" w:rsidRDefault="00000000" w:rsidRPr="00000000" w14:paraId="00000109">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identifies the development and deployment of AI-enabled products and operations as a key opportunity, balanced by clear disclosures about associated operational and regulatory risks.</w:t>
        <w:br w:type="textWrapping"/>
      </w:r>
      <w:r w:rsidDel="00000000" w:rsidR="00000000" w:rsidRPr="00000000">
        <w:rPr>
          <w:rtl w:val="0"/>
        </w:rPr>
      </w:r>
    </w:p>
    <w:p w:rsidR="00000000" w:rsidDel="00000000" w:rsidP="00000000" w:rsidRDefault="00000000" w:rsidRPr="00000000" w14:paraId="0000010A">
      <w:pPr>
        <w:numPr>
          <w:ilvl w:val="0"/>
          <w:numId w:val="16"/>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references quantitative and data-driven approaches as part of its capabilities, aligning with its stated aim to “embed next-generation technology.”</w:t>
      </w:r>
    </w:p>
    <w:p w:rsidR="00000000" w:rsidDel="00000000" w:rsidP="00000000" w:rsidRDefault="00000000" w:rsidRPr="00000000" w14:paraId="0000010B">
      <w:pPr>
        <w:spacing w:after="240" w:before="240" w:lineRule="auto"/>
        <w:ind w:left="0" w:firstLine="0"/>
        <w:jc w:val="both"/>
        <w:rPr/>
      </w:pPr>
      <w:r w:rsidDel="00000000" w:rsidR="00000000" w:rsidRPr="00000000">
        <w:rPr>
          <w:rtl w:val="0"/>
        </w:rPr>
        <w:t xml:space="preserve">These different approaches—platform-as-a-service (BlackRock), platform as an integrated solution (State Street), and embedded technology (Invesco) define the technology battleground.</w:t>
      </w:r>
    </w:p>
    <w:p w:rsidR="00000000" w:rsidDel="00000000" w:rsidP="00000000" w:rsidRDefault="00000000" w:rsidRPr="00000000" w14:paraId="0000010C">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jc w:val="both"/>
        <w:rPr>
          <w:b w:val="1"/>
          <w:bCs w:val="1"/>
          <w:sz w:val="34"/>
          <w:szCs w:val="34"/>
        </w:rPr>
      </w:pPr>
      <w:r w:rsidDel="00000000" w:rsidR="00000000" w:rsidRPr="00000000">
        <w:rPr>
          <w:b w:val="1"/>
          <w:bCs w:val="1"/>
          <w:sz w:val="34"/>
          <w:szCs w:val="34"/>
          <w:rtl w:val="0"/>
        </w:rPr>
        <w:t xml:space="preserve">7.0 Risk &amp; Regulatory Environment</w:t>
      </w:r>
    </w:p>
    <w:p w:rsidR="00000000" w:rsidDel="00000000" w:rsidP="00000000" w:rsidRDefault="00000000" w:rsidRPr="00000000" w14:paraId="0000010E">
      <w:pPr>
        <w:pStyle w:val="Heading3"/>
        <w:keepNext w:val="0"/>
        <w:keepLines w:val="0"/>
        <w:spacing w:before="280" w:lineRule="auto"/>
        <w:jc w:val="both"/>
        <w:rPr>
          <w:b w:val="1"/>
          <w:bCs w:val="1"/>
          <w:color w:val="000000"/>
          <w:sz w:val="26"/>
          <w:szCs w:val="26"/>
        </w:rPr>
      </w:pPr>
      <w:bookmarkStart w:colFirst="0" w:colLast="0" w:name="_65454y3j2rkc" w:id="44"/>
      <w:bookmarkEnd w:id="44"/>
      <w:r w:rsidDel="00000000" w:rsidR="00000000" w:rsidRPr="00000000">
        <w:rPr>
          <w:b w:val="1"/>
          <w:bCs w:val="1"/>
          <w:color w:val="000000"/>
          <w:sz w:val="26"/>
          <w:szCs w:val="26"/>
          <w:rtl w:val="0"/>
        </w:rPr>
        <w:t xml:space="preserve">Systemic Regulatory Status</w:t>
      </w:r>
    </w:p>
    <w:p w:rsidR="00000000" w:rsidDel="00000000" w:rsidP="00000000" w:rsidRDefault="00000000" w:rsidRPr="00000000" w14:paraId="0000010F">
      <w:pPr>
        <w:numPr>
          <w:ilvl w:val="0"/>
          <w:numId w:val="8"/>
        </w:numPr>
        <w:spacing w:after="0" w:afterAutospacing="0" w:before="24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is designated a </w:t>
      </w:r>
      <w:r w:rsidDel="00000000" w:rsidR="00000000" w:rsidRPr="00000000">
        <w:rPr>
          <w:b w:val="1"/>
          <w:bCs w:val="1"/>
          <w:rtl w:val="0"/>
        </w:rPr>
        <w:t xml:space="preserve">Global Systemically Important Bank (G-SIB)</w:t>
      </w:r>
      <w:r w:rsidDel="00000000" w:rsidR="00000000" w:rsidRPr="00000000">
        <w:rPr>
          <w:rtl w:val="0"/>
        </w:rPr>
        <w:t xml:space="preserve">. It is therefore subject to enhanced capital and liquidity requirements, TLAC, LCR, and annual CCAR stress testing, among other standards.</w:t>
        <w:br w:type="textWrapping"/>
      </w:r>
      <w:r w:rsidDel="00000000" w:rsidR="00000000" w:rsidRPr="00000000">
        <w:rPr>
          <w:rtl w:val="0"/>
        </w:rPr>
      </w:r>
    </w:p>
    <w:p w:rsidR="00000000" w:rsidDel="00000000" w:rsidP="00000000" w:rsidRDefault="00000000" w:rsidRPr="00000000" w14:paraId="00000110">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is not currently designated as a SIFI but explicitly acknowledges the </w:t>
      </w:r>
      <w:r w:rsidDel="00000000" w:rsidR="00000000" w:rsidRPr="00000000">
        <w:rPr>
          <w:b w:val="1"/>
          <w:bCs w:val="1"/>
          <w:rtl w:val="0"/>
        </w:rPr>
        <w:t xml:space="preserve">risk of potential designation</w:t>
      </w:r>
      <w:r w:rsidDel="00000000" w:rsidR="00000000" w:rsidRPr="00000000">
        <w:rPr>
          <w:rtl w:val="0"/>
        </w:rPr>
        <w:t xml:space="preserve">, which would impose bank-like supervision and capital/liquidity constraints.</w:t>
        <w:br w:type="textWrapping"/>
      </w:r>
      <w:r w:rsidDel="00000000" w:rsidR="00000000" w:rsidRPr="00000000">
        <w:rPr>
          <w:rtl w:val="0"/>
        </w:rPr>
      </w:r>
    </w:p>
    <w:p w:rsidR="00000000" w:rsidDel="00000000" w:rsidP="00000000" w:rsidRDefault="00000000" w:rsidRPr="00000000" w14:paraId="00000111">
      <w:pPr>
        <w:numPr>
          <w:ilvl w:val="0"/>
          <w:numId w:val="8"/>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operates under a more traditional asset-manager regulatory framework (e.g., investment adviser and investment company regulations) without systemic-institution designation.</w:t>
        <w:br w:type="textWrapping"/>
      </w:r>
    </w:p>
    <w:p w:rsidR="00000000" w:rsidDel="00000000" w:rsidP="00000000" w:rsidRDefault="00000000" w:rsidRPr="00000000" w14:paraId="00000112">
      <w:pPr>
        <w:pStyle w:val="Heading3"/>
        <w:keepNext w:val="0"/>
        <w:keepLines w:val="0"/>
        <w:spacing w:before="280" w:lineRule="auto"/>
        <w:jc w:val="both"/>
        <w:rPr>
          <w:b w:val="1"/>
          <w:bCs w:val="1"/>
          <w:color w:val="000000"/>
          <w:sz w:val="26"/>
          <w:szCs w:val="26"/>
        </w:rPr>
      </w:pPr>
      <w:bookmarkStart w:colFirst="0" w:colLast="0" w:name="_5jaotsta9gqd" w:id="45"/>
      <w:bookmarkEnd w:id="45"/>
      <w:r w:rsidDel="00000000" w:rsidR="00000000" w:rsidRPr="00000000">
        <w:rPr>
          <w:b w:val="1"/>
          <w:bCs w:val="1"/>
          <w:color w:val="000000"/>
          <w:sz w:val="26"/>
          <w:szCs w:val="26"/>
          <w:rtl w:val="0"/>
        </w:rPr>
        <w:t xml:space="preserve">Key Risk Themes</w:t>
      </w:r>
    </w:p>
    <w:p w:rsidR="00000000" w:rsidDel="00000000" w:rsidP="00000000" w:rsidRDefault="00000000" w:rsidRPr="00000000" w14:paraId="00000113">
      <w:pPr>
        <w:numPr>
          <w:ilvl w:val="0"/>
          <w:numId w:val="31"/>
        </w:numPr>
        <w:spacing w:after="0" w:afterAutospacing="0" w:before="240" w:lineRule="auto"/>
        <w:ind w:left="720" w:hanging="360"/>
        <w:jc w:val="both"/>
      </w:pPr>
      <w:r w:rsidDel="00000000" w:rsidR="00000000" w:rsidRPr="00000000">
        <w:rPr>
          <w:b w:val="1"/>
          <w:bCs w:val="1"/>
          <w:rtl w:val="0"/>
        </w:rPr>
        <w:t xml:space="preserve">Competitive &amp; Pricing Pressure:</w:t>
      </w:r>
      <w:r w:rsidDel="00000000" w:rsidR="00000000" w:rsidRPr="00000000">
        <w:rPr>
          <w:rtl w:val="0"/>
        </w:rPr>
        <w:t xml:space="preserve"> All three identify intense competition and fee compression as material risks, reflecting the global shift toward low-cost passive products and strong bargaining power of large institutional allocators.</w:t>
        <w:br w:type="textWrapping"/>
      </w:r>
      <w:r w:rsidDel="00000000" w:rsidR="00000000" w:rsidRPr="00000000">
        <w:rPr>
          <w:rtl w:val="0"/>
        </w:rPr>
      </w:r>
    </w:p>
    <w:p w:rsidR="00000000" w:rsidDel="00000000" w:rsidP="00000000" w:rsidRDefault="00000000" w:rsidRPr="00000000" w14:paraId="00000114">
      <w:pPr>
        <w:numPr>
          <w:ilvl w:val="0"/>
          <w:numId w:val="31"/>
        </w:numPr>
        <w:spacing w:after="0" w:afterAutospacing="0" w:before="0" w:beforeAutospacing="0" w:lineRule="auto"/>
        <w:ind w:left="720" w:hanging="360"/>
        <w:jc w:val="both"/>
      </w:pPr>
      <w:r w:rsidDel="00000000" w:rsidR="00000000" w:rsidRPr="00000000">
        <w:rPr>
          <w:b w:val="1"/>
          <w:bCs w:val="1"/>
          <w:rtl w:val="0"/>
        </w:rPr>
        <w:t xml:space="preserve">Operational &amp; Cybersecurity Risk:</w:t>
      </w:r>
      <w:r w:rsidDel="00000000" w:rsidR="00000000" w:rsidRPr="00000000">
        <w:rPr>
          <w:rtl w:val="0"/>
        </w:rPr>
        <w:t xml:space="preserve"> Each firm highlights operational, technology and cyber risks, including reliance on critical vendors and complex technology stacks. BlackRock and State Street describe robust governance structures and committees overseeing technology and operational resilience.</w:t>
        <w:br w:type="textWrapping"/>
      </w:r>
      <w:r w:rsidDel="00000000" w:rsidR="00000000" w:rsidRPr="00000000">
        <w:rPr>
          <w:rtl w:val="0"/>
        </w:rPr>
      </w:r>
    </w:p>
    <w:p w:rsidR="00000000" w:rsidDel="00000000" w:rsidP="00000000" w:rsidRDefault="00000000" w:rsidRPr="00000000" w14:paraId="00000115">
      <w:pPr>
        <w:numPr>
          <w:ilvl w:val="0"/>
          <w:numId w:val="31"/>
        </w:numPr>
        <w:spacing w:after="0" w:afterAutospacing="0" w:before="0" w:beforeAutospacing="0" w:lineRule="auto"/>
        <w:ind w:left="720" w:hanging="360"/>
        <w:jc w:val="both"/>
      </w:pPr>
      <w:r w:rsidDel="00000000" w:rsidR="00000000" w:rsidRPr="00000000">
        <w:rPr>
          <w:b w:val="1"/>
          <w:bCs w:val="1"/>
          <w:rtl w:val="0"/>
        </w:rPr>
        <w:t xml:space="preserve">Market &amp; Interest Rate Risk:</w:t>
        <w:br w:type="textWrapping"/>
      </w:r>
      <w:r w:rsidDel="00000000" w:rsidR="00000000" w:rsidRPr="00000000">
        <w:rPr>
          <w:rtl w:val="0"/>
        </w:rPr>
      </w:r>
    </w:p>
    <w:p w:rsidR="00000000" w:rsidDel="00000000" w:rsidP="00000000" w:rsidRDefault="00000000" w:rsidRPr="00000000" w14:paraId="00000116">
      <w:pPr>
        <w:numPr>
          <w:ilvl w:val="1"/>
          <w:numId w:val="31"/>
        </w:numPr>
        <w:spacing w:after="0" w:afterAutospacing="0" w:before="0" w:beforeAutospacing="0" w:lineRule="auto"/>
        <w:ind w:left="1440" w:hanging="360"/>
        <w:jc w:val="both"/>
      </w:pPr>
      <w:r w:rsidDel="00000000" w:rsidR="00000000" w:rsidRPr="00000000">
        <w:rPr>
          <w:rtl w:val="0"/>
        </w:rPr>
        <w:t xml:space="preserve">All three are exposed to market risk through AUM fluctuations.</w:t>
        <w:br w:type="textWrapping"/>
      </w:r>
      <w:r w:rsidDel="00000000" w:rsidR="00000000" w:rsidRPr="00000000">
        <w:rPr>
          <w:rtl w:val="0"/>
        </w:rPr>
      </w:r>
    </w:p>
    <w:p w:rsidR="00000000" w:rsidDel="00000000" w:rsidP="00000000" w:rsidRDefault="00000000" w:rsidRPr="00000000" w14:paraId="00000117">
      <w:pPr>
        <w:numPr>
          <w:ilvl w:val="1"/>
          <w:numId w:val="31"/>
        </w:numPr>
        <w:spacing w:after="240" w:before="0" w:beforeAutospacing="0" w:lineRule="auto"/>
        <w:ind w:left="1440" w:hanging="360"/>
        <w:jc w:val="both"/>
      </w:pPr>
      <w:r w:rsidDel="00000000" w:rsidR="00000000" w:rsidRPr="00000000">
        <w:rPr>
          <w:b w:val="1"/>
          <w:bCs w:val="1"/>
          <w:rtl w:val="0"/>
        </w:rPr>
        <w:t xml:space="preserve">State Street</w:t>
      </w:r>
      <w:r w:rsidDel="00000000" w:rsidR="00000000" w:rsidRPr="00000000">
        <w:rPr>
          <w:rtl w:val="0"/>
        </w:rPr>
        <w:t xml:space="preserve">, in addition, is heavily exposed to </w:t>
      </w:r>
      <w:r w:rsidDel="00000000" w:rsidR="00000000" w:rsidRPr="00000000">
        <w:rPr>
          <w:b w:val="1"/>
          <w:bCs w:val="1"/>
          <w:rtl w:val="0"/>
        </w:rPr>
        <w:t xml:space="preserve">interest rate risk</w:t>
      </w:r>
      <w:r w:rsidDel="00000000" w:rsidR="00000000" w:rsidRPr="00000000">
        <w:rPr>
          <w:rtl w:val="0"/>
        </w:rPr>
        <w:t xml:space="preserve"> via NII and the valuation of its sizable securities portfolio.</w:t>
        <w:br w:type="textWrapping"/>
      </w:r>
    </w:p>
    <w:p w:rsidR="00000000" w:rsidDel="00000000" w:rsidP="00000000" w:rsidRDefault="00000000" w:rsidRPr="00000000" w14:paraId="0000011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19">
      <w:pPr>
        <w:numPr>
          <w:ilvl w:val="0"/>
          <w:numId w:val="31"/>
        </w:numPr>
        <w:spacing w:after="0" w:afterAutospacing="0" w:before="240" w:lineRule="auto"/>
        <w:ind w:left="720" w:hanging="360"/>
        <w:jc w:val="both"/>
      </w:pPr>
      <w:r w:rsidDel="00000000" w:rsidR="00000000" w:rsidRPr="00000000">
        <w:rPr>
          <w:b w:val="1"/>
          <w:bCs w:val="1"/>
          <w:rtl w:val="0"/>
        </w:rPr>
        <w:t xml:space="preserve">Regulatory &amp; Legal Risk:</w:t>
        <w:br w:type="textWrapping"/>
      </w:r>
      <w:r w:rsidDel="00000000" w:rsidR="00000000" w:rsidRPr="00000000">
        <w:rPr>
          <w:rtl w:val="0"/>
        </w:rPr>
      </w:r>
    </w:p>
    <w:p w:rsidR="00000000" w:rsidDel="00000000" w:rsidP="00000000" w:rsidRDefault="00000000" w:rsidRPr="00000000" w14:paraId="0000011A">
      <w:pPr>
        <w:numPr>
          <w:ilvl w:val="1"/>
          <w:numId w:val="31"/>
        </w:numPr>
        <w:spacing w:after="0" w:afterAutospacing="0" w:before="0" w:beforeAutospacing="0" w:lineRule="auto"/>
        <w:ind w:left="1440" w:hanging="360"/>
        <w:jc w:val="both"/>
      </w:pPr>
      <w:r w:rsidDel="00000000" w:rsidR="00000000" w:rsidRPr="00000000">
        <w:rPr>
          <w:rtl w:val="0"/>
        </w:rPr>
        <w:t xml:space="preserve">BlackRock and State Street both face complex and evolving global regulatory regimes, including rules affecting technology (e.g., DORA, SEC rules on predictive data analytics) and distribution (e.g., DOL Fiduciary Rule).</w:t>
        <w:br w:type="textWrapping"/>
      </w:r>
      <w:r w:rsidDel="00000000" w:rsidR="00000000" w:rsidRPr="00000000">
        <w:rPr>
          <w:rtl w:val="0"/>
        </w:rPr>
      </w:r>
    </w:p>
    <w:p w:rsidR="00000000" w:rsidDel="00000000" w:rsidP="00000000" w:rsidRDefault="00000000" w:rsidRPr="00000000" w14:paraId="0000011B">
      <w:pPr>
        <w:numPr>
          <w:ilvl w:val="1"/>
          <w:numId w:val="31"/>
        </w:numPr>
        <w:spacing w:after="0" w:afterAutospacing="0" w:before="0" w:beforeAutospacing="0" w:lineRule="auto"/>
        <w:ind w:left="1440" w:hanging="360"/>
        <w:jc w:val="both"/>
      </w:pPr>
      <w:r w:rsidDel="00000000" w:rsidR="00000000" w:rsidRPr="00000000">
        <w:rPr>
          <w:rtl w:val="0"/>
        </w:rPr>
        <w:t xml:space="preserve">State Street also disclosed specific regulatory matters, such as an OFAC settlement and associated contingent legal risks.</w:t>
        <w:br w:type="textWrapping"/>
      </w:r>
      <w:r w:rsidDel="00000000" w:rsidR="00000000" w:rsidRPr="00000000">
        <w:rPr>
          <w:rtl w:val="0"/>
        </w:rPr>
      </w:r>
    </w:p>
    <w:p w:rsidR="00000000" w:rsidDel="00000000" w:rsidP="00000000" w:rsidRDefault="00000000" w:rsidRPr="00000000" w14:paraId="0000011C">
      <w:pPr>
        <w:numPr>
          <w:ilvl w:val="1"/>
          <w:numId w:val="31"/>
        </w:numPr>
        <w:spacing w:after="240" w:before="0" w:beforeAutospacing="0" w:lineRule="auto"/>
        <w:ind w:left="1440" w:hanging="360"/>
        <w:jc w:val="both"/>
      </w:pPr>
      <w:r w:rsidDel="00000000" w:rsidR="00000000" w:rsidRPr="00000000">
        <w:rPr>
          <w:rtl w:val="0"/>
        </w:rPr>
        <w:t xml:space="preserve">Invesco’s disclosures emphasize regulatory, conduct and product-related risks in line with a global asset manager.</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The result is a heavy but differently structured regulatory burden: bank-like for State Street, potentially escalating for BlackRock, and more traditional but still complex for Invesco.</w:t>
      </w:r>
    </w:p>
    <w:p w:rsidR="00000000" w:rsidDel="00000000" w:rsidP="00000000" w:rsidRDefault="00000000" w:rsidRPr="00000000" w14:paraId="0000011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jc w:val="both"/>
        <w:rPr>
          <w:b w:val="1"/>
          <w:bCs w:val="1"/>
          <w:sz w:val="34"/>
          <w:szCs w:val="34"/>
        </w:rPr>
      </w:pPr>
      <w:bookmarkStart w:colFirst="0" w:colLast="0" w:name="_enih3u26k2dq" w:id="46"/>
      <w:bookmarkEnd w:id="46"/>
      <w:r w:rsidDel="00000000" w:rsidR="00000000" w:rsidRPr="00000000">
        <w:rPr>
          <w:b w:val="1"/>
          <w:bCs w:val="1"/>
          <w:sz w:val="34"/>
          <w:szCs w:val="34"/>
          <w:rtl w:val="0"/>
        </w:rPr>
        <w:t xml:space="preserve">8.0 Human Capital Management</w:t>
      </w:r>
    </w:p>
    <w:p w:rsidR="00000000" w:rsidDel="00000000" w:rsidP="00000000" w:rsidRDefault="00000000" w:rsidRPr="00000000" w14:paraId="00000120">
      <w:pPr>
        <w:pStyle w:val="Heading3"/>
        <w:keepNext w:val="0"/>
        <w:keepLines w:val="0"/>
        <w:spacing w:before="280" w:lineRule="auto"/>
        <w:jc w:val="both"/>
        <w:rPr>
          <w:b w:val="1"/>
          <w:bCs w:val="1"/>
          <w:color w:val="000000"/>
          <w:sz w:val="26"/>
          <w:szCs w:val="26"/>
        </w:rPr>
      </w:pPr>
      <w:bookmarkStart w:colFirst="0" w:colLast="0" w:name="_8jx6u392k2by" w:id="47"/>
      <w:bookmarkEnd w:id="47"/>
      <w:r w:rsidDel="00000000" w:rsidR="00000000" w:rsidRPr="00000000">
        <w:rPr>
          <w:b w:val="1"/>
          <w:bCs w:val="1"/>
          <w:color w:val="000000"/>
          <w:sz w:val="26"/>
          <w:szCs w:val="26"/>
          <w:rtl w:val="0"/>
        </w:rPr>
        <w:t xml:space="preserve">Workforce Size and Structure</w:t>
      </w:r>
    </w:p>
    <w:p w:rsidR="00000000" w:rsidDel="00000000" w:rsidP="00000000" w:rsidRDefault="00000000" w:rsidRPr="00000000" w14:paraId="00000121">
      <w:pPr>
        <w:numPr>
          <w:ilvl w:val="0"/>
          <w:numId w:val="30"/>
        </w:numPr>
        <w:spacing w:after="0" w:afterAutospacing="0" w:before="240" w:lineRule="auto"/>
        <w:ind w:left="720" w:hanging="360"/>
        <w:jc w:val="both"/>
      </w:pPr>
      <w:r w:rsidDel="00000000" w:rsidR="00000000" w:rsidRPr="00000000">
        <w:rPr>
          <w:b w:val="1"/>
          <w:bCs w:val="1"/>
          <w:rtl w:val="0"/>
        </w:rPr>
        <w:t xml:space="preserve">Invesco</w:t>
      </w:r>
      <w:r w:rsidDel="00000000" w:rsidR="00000000" w:rsidRPr="00000000">
        <w:rPr>
          <w:rtl w:val="0"/>
        </w:rPr>
        <w:t xml:space="preserve">: Approximately </w:t>
      </w:r>
      <w:r w:rsidDel="00000000" w:rsidR="00000000" w:rsidRPr="00000000">
        <w:rPr>
          <w:b w:val="1"/>
          <w:bCs w:val="1"/>
          <w:rtl w:val="0"/>
        </w:rPr>
        <w:t xml:space="preserve">8,508 employees</w:t>
      </w:r>
      <w:r w:rsidDel="00000000" w:rsidR="00000000" w:rsidRPr="00000000">
        <w:rPr>
          <w:rtl w:val="0"/>
        </w:rPr>
        <w:t xml:space="preserve"> globally as of Dec 31, 2024, with presence in </w:t>
      </w:r>
      <w:r w:rsidDel="00000000" w:rsidR="00000000" w:rsidRPr="00000000">
        <w:rPr>
          <w:b w:val="1"/>
          <w:bCs w:val="1"/>
          <w:rtl w:val="0"/>
        </w:rPr>
        <w:t xml:space="preserve">20+ countries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22">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Reported a </w:t>
      </w:r>
      <w:r w:rsidDel="00000000" w:rsidR="00000000" w:rsidRPr="00000000">
        <w:rPr>
          <w:b w:val="1"/>
          <w:bCs w:val="1"/>
          <w:rtl w:val="0"/>
        </w:rPr>
        <w:t xml:space="preserve">13% net increase in headcount</w:t>
      </w:r>
      <w:r w:rsidDel="00000000" w:rsidR="00000000" w:rsidRPr="00000000">
        <w:rPr>
          <w:rtl w:val="0"/>
        </w:rPr>
        <w:t xml:space="preserve">, largely reflecting consolidation of a large India-based joint venture and ongoing build-out of global operations centers.</w:t>
        <w:br w:type="textWrapping"/>
      </w:r>
      <w:r w:rsidDel="00000000" w:rsidR="00000000" w:rsidRPr="00000000">
        <w:rPr>
          <w:rtl w:val="0"/>
        </w:rPr>
      </w:r>
    </w:p>
    <w:p w:rsidR="00000000" w:rsidDel="00000000" w:rsidP="00000000" w:rsidRDefault="00000000" w:rsidRPr="00000000" w14:paraId="00000123">
      <w:pPr>
        <w:numPr>
          <w:ilvl w:val="0"/>
          <w:numId w:val="30"/>
        </w:numPr>
        <w:spacing w:after="240" w:before="0" w:beforeAutospacing="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Employs over </w:t>
      </w:r>
      <w:r w:rsidDel="00000000" w:rsidR="00000000" w:rsidRPr="00000000">
        <w:rPr>
          <w:b w:val="1"/>
          <w:bCs w:val="1"/>
          <w:rtl w:val="0"/>
        </w:rPr>
        <w:t xml:space="preserve">21,000 people</w:t>
      </w:r>
      <w:r w:rsidDel="00000000" w:rsidR="00000000" w:rsidRPr="00000000">
        <w:rPr>
          <w:rtl w:val="0"/>
        </w:rPr>
        <w:t xml:space="preserve"> globally, with more than half based outside the U.S.</w: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jc w:val="both"/>
        <w:rPr>
          <w:b w:val="1"/>
          <w:bCs w:val="1"/>
          <w:color w:val="000000"/>
          <w:sz w:val="26"/>
          <w:szCs w:val="26"/>
        </w:rPr>
      </w:pPr>
      <w:bookmarkStart w:colFirst="0" w:colLast="0" w:name="_bszjxiqyk148" w:id="48"/>
      <w:bookmarkEnd w:id="48"/>
      <w:r w:rsidDel="00000000" w:rsidR="00000000" w:rsidRPr="00000000">
        <w:rPr>
          <w:b w:val="1"/>
          <w:bCs w:val="1"/>
          <w:color w:val="000000"/>
          <w:sz w:val="26"/>
          <w:szCs w:val="26"/>
          <w:rtl w:val="0"/>
        </w:rPr>
        <w:t xml:space="preserve">Compensation and Engagement Strategies</w:t>
      </w:r>
    </w:p>
    <w:p w:rsidR="00000000" w:rsidDel="00000000" w:rsidP="00000000" w:rsidRDefault="00000000" w:rsidRPr="00000000" w14:paraId="00000125">
      <w:pPr>
        <w:numPr>
          <w:ilvl w:val="0"/>
          <w:numId w:val="34"/>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emphasizes a </w:t>
      </w:r>
      <w:r w:rsidDel="00000000" w:rsidR="00000000" w:rsidRPr="00000000">
        <w:rPr>
          <w:b w:val="1"/>
          <w:bCs w:val="1"/>
          <w:rtl w:val="0"/>
        </w:rPr>
        <w:t xml:space="preserve">pay-for-performance culture</w:t>
      </w:r>
      <w:r w:rsidDel="00000000" w:rsidR="00000000" w:rsidRPr="00000000">
        <w:rPr>
          <w:rtl w:val="0"/>
        </w:rPr>
        <w:t xml:space="preserve"> with total compensation reflecting firm, business unit and individual results, and a broad well-being agenda (health, mental health, financial wellness, flexible time).</w:t>
        <w:br w:type="textWrapping"/>
      </w:r>
      <w:r w:rsidDel="00000000" w:rsidR="00000000" w:rsidRPr="00000000">
        <w:rPr>
          <w:rtl w:val="0"/>
        </w:rPr>
      </w:r>
    </w:p>
    <w:p w:rsidR="00000000" w:rsidDel="00000000" w:rsidP="00000000" w:rsidRDefault="00000000" w:rsidRPr="00000000" w14:paraId="00000126">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aligns human capital strategy with a </w:t>
      </w:r>
      <w:r w:rsidDel="00000000" w:rsidR="00000000" w:rsidRPr="00000000">
        <w:rPr>
          <w:b w:val="1"/>
          <w:bCs w:val="1"/>
          <w:rtl w:val="0"/>
        </w:rPr>
        <w:t xml:space="preserve">technology-centric financial services model</w:t>
      </w:r>
      <w:r w:rsidDel="00000000" w:rsidR="00000000" w:rsidRPr="00000000">
        <w:rPr>
          <w:rtl w:val="0"/>
        </w:rPr>
        <w:t xml:space="preserve">, focusing on skills for digital, data and Alpha platform delivery, combined with productivity and efficiency improvements.</w:t>
        <w:br w:type="textWrapping"/>
      </w:r>
      <w:r w:rsidDel="00000000" w:rsidR="00000000" w:rsidRPr="00000000">
        <w:rPr>
          <w:rtl w:val="0"/>
        </w:rPr>
      </w:r>
    </w:p>
    <w:p w:rsidR="00000000" w:rsidDel="00000000" w:rsidP="00000000" w:rsidRDefault="00000000" w:rsidRPr="00000000" w14:paraId="00000127">
      <w:pPr>
        <w:numPr>
          <w:ilvl w:val="0"/>
          <w:numId w:val="34"/>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stresses talent development, diversity and inclusion, and employee well-being as key to long-term client and shareholder outcomes.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These approaches are consistent with each firm’s broader strategy: BlackRock’s innovation-and-performance focus, State Street’s efficiency-and-platform focus, and Invesco’s independent-manager, culture-driven positioning.</w:t>
      </w:r>
    </w:p>
    <w:p w:rsidR="00000000" w:rsidDel="00000000" w:rsidP="00000000" w:rsidRDefault="00000000" w:rsidRPr="00000000" w14:paraId="00000129">
      <w:pPr>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jc w:val="both"/>
        <w:rPr>
          <w:b w:val="1"/>
          <w:bCs w:val="1"/>
          <w:sz w:val="34"/>
          <w:szCs w:val="34"/>
        </w:rPr>
      </w:pPr>
      <w:bookmarkStart w:colFirst="0" w:colLast="0" w:name="_4s0xde9hgvs7" w:id="49"/>
      <w:bookmarkEnd w:id="49"/>
      <w:r w:rsidDel="00000000" w:rsidR="00000000" w:rsidRPr="00000000">
        <w:rPr>
          <w:rtl w:val="0"/>
        </w:rPr>
      </w:r>
    </w:p>
    <w:p w:rsidR="00000000" w:rsidDel="00000000" w:rsidP="00000000" w:rsidRDefault="00000000" w:rsidRPr="00000000" w14:paraId="0000012B">
      <w:pPr>
        <w:pStyle w:val="Heading2"/>
        <w:keepNext w:val="0"/>
        <w:keepLines w:val="0"/>
        <w:spacing w:after="80" w:lineRule="auto"/>
        <w:jc w:val="both"/>
        <w:rPr>
          <w:b w:val="1"/>
          <w:bCs w:val="1"/>
          <w:sz w:val="34"/>
          <w:szCs w:val="34"/>
        </w:rPr>
      </w:pPr>
      <w:bookmarkStart w:colFirst="0" w:colLast="0" w:name="_74hlg5nylez8" w:id="50"/>
      <w:bookmarkEnd w:id="50"/>
      <w:r w:rsidDel="00000000" w:rsidR="00000000" w:rsidRPr="00000000">
        <w:rPr>
          <w:rtl w:val="0"/>
        </w:rPr>
      </w:r>
    </w:p>
    <w:p w:rsidR="00000000" w:rsidDel="00000000" w:rsidP="00000000" w:rsidRDefault="00000000" w:rsidRPr="00000000" w14:paraId="0000012C">
      <w:pPr>
        <w:pStyle w:val="Heading2"/>
        <w:keepNext w:val="0"/>
        <w:keepLines w:val="0"/>
        <w:spacing w:after="80" w:lineRule="auto"/>
        <w:jc w:val="both"/>
        <w:rPr>
          <w:b w:val="1"/>
          <w:bCs w:val="1"/>
          <w:sz w:val="34"/>
          <w:szCs w:val="34"/>
        </w:rPr>
      </w:pPr>
      <w:bookmarkStart w:colFirst="0" w:colLast="0" w:name="_r43mgy11uh34" w:id="51"/>
      <w:bookmarkEnd w:id="51"/>
      <w:r w:rsidDel="00000000" w:rsidR="00000000" w:rsidRPr="00000000">
        <w:rPr>
          <w:b w:val="1"/>
          <w:bCs w:val="1"/>
          <w:sz w:val="34"/>
          <w:szCs w:val="34"/>
          <w:rtl w:val="0"/>
        </w:rPr>
        <w:t xml:space="preserve">9.0 Growth Strategy Analysis</w:t>
      </w:r>
    </w:p>
    <w:p w:rsidR="00000000" w:rsidDel="00000000" w:rsidP="00000000" w:rsidRDefault="00000000" w:rsidRPr="00000000" w14:paraId="0000012D">
      <w:pPr>
        <w:pStyle w:val="Heading3"/>
        <w:keepNext w:val="0"/>
        <w:keepLines w:val="0"/>
        <w:spacing w:before="280" w:lineRule="auto"/>
        <w:jc w:val="both"/>
        <w:rPr>
          <w:b w:val="1"/>
          <w:bCs w:val="1"/>
          <w:color w:val="000000"/>
          <w:sz w:val="26"/>
          <w:szCs w:val="26"/>
        </w:rPr>
      </w:pPr>
      <w:bookmarkStart w:colFirst="0" w:colLast="0" w:name="_1m8zm7bntf7" w:id="52"/>
      <w:bookmarkEnd w:id="52"/>
      <w:r w:rsidDel="00000000" w:rsidR="00000000" w:rsidRPr="00000000">
        <w:rPr>
          <w:b w:val="1"/>
          <w:bCs w:val="1"/>
          <w:color w:val="000000"/>
          <w:sz w:val="26"/>
          <w:szCs w:val="26"/>
          <w:rtl w:val="0"/>
        </w:rPr>
        <w:t xml:space="preserve">Primary Strategic Priorities</w:t>
      </w:r>
    </w:p>
    <w:p w:rsidR="00000000" w:rsidDel="00000000" w:rsidP="00000000" w:rsidRDefault="00000000" w:rsidRPr="00000000" w14:paraId="0000012E">
      <w:pPr>
        <w:numPr>
          <w:ilvl w:val="0"/>
          <w:numId w:val="9"/>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focuses growth on:</w:t>
        <w:br w:type="textWrapping"/>
      </w:r>
      <w:r w:rsidDel="00000000" w:rsidR="00000000" w:rsidRPr="00000000">
        <w:rPr>
          <w:rtl w:val="0"/>
        </w:rPr>
      </w:r>
    </w:p>
    <w:p w:rsidR="00000000" w:rsidDel="00000000" w:rsidP="00000000" w:rsidRDefault="00000000" w:rsidRPr="00000000" w14:paraId="0000012F">
      <w:pPr>
        <w:numPr>
          <w:ilvl w:val="1"/>
          <w:numId w:val="9"/>
        </w:numPr>
        <w:spacing w:after="0" w:afterAutospacing="0" w:before="0" w:beforeAutospacing="0" w:lineRule="auto"/>
        <w:ind w:left="1440" w:hanging="360"/>
        <w:jc w:val="both"/>
      </w:pPr>
      <w:r w:rsidDel="00000000" w:rsidR="00000000" w:rsidRPr="00000000">
        <w:rPr>
          <w:rtl w:val="0"/>
        </w:rPr>
        <w:t xml:space="preserve">Expansion of </w:t>
      </w:r>
      <w:r w:rsidDel="00000000" w:rsidR="00000000" w:rsidRPr="00000000">
        <w:rPr>
          <w:b w:val="1"/>
          <w:bCs w:val="1"/>
          <w:rtl w:val="0"/>
        </w:rPr>
        <w:t xml:space="preserve">technology services</w:t>
      </w:r>
      <w:r w:rsidDel="00000000" w:rsidR="00000000" w:rsidRPr="00000000">
        <w:rPr>
          <w:rtl w:val="0"/>
        </w:rPr>
        <w:t xml:space="preserve"> (Aladdin and related platforms).</w:t>
        <w:br w:type="textWrapping"/>
      </w:r>
      <w:r w:rsidDel="00000000" w:rsidR="00000000" w:rsidRPr="00000000">
        <w:rPr>
          <w:rtl w:val="0"/>
        </w:rPr>
      </w:r>
    </w:p>
    <w:p w:rsidR="00000000" w:rsidDel="00000000" w:rsidP="00000000" w:rsidRDefault="00000000" w:rsidRPr="00000000" w14:paraId="00000130">
      <w:pPr>
        <w:numPr>
          <w:ilvl w:val="1"/>
          <w:numId w:val="9"/>
        </w:numPr>
        <w:spacing w:after="0" w:afterAutospacing="0" w:before="0" w:beforeAutospacing="0" w:lineRule="auto"/>
        <w:ind w:left="1440" w:hanging="360"/>
        <w:jc w:val="both"/>
      </w:pPr>
      <w:r w:rsidDel="00000000" w:rsidR="00000000" w:rsidRPr="00000000">
        <w:rPr>
          <w:rtl w:val="0"/>
        </w:rPr>
        <w:t xml:space="preserve">A major push into </w:t>
      </w:r>
      <w:r w:rsidDel="00000000" w:rsidR="00000000" w:rsidRPr="00000000">
        <w:rPr>
          <w:b w:val="1"/>
          <w:bCs w:val="1"/>
          <w:rtl w:val="0"/>
        </w:rPr>
        <w:t xml:space="preserve">private markets</w:t>
      </w:r>
      <w:r w:rsidDel="00000000" w:rsidR="00000000" w:rsidRPr="00000000">
        <w:rPr>
          <w:rtl w:val="0"/>
        </w:rPr>
        <w:t xml:space="preserve"> (infrastructure, private credit, private markets data).</w:t>
        <w:br w:type="textWrapping"/>
      </w:r>
      <w:r w:rsidDel="00000000" w:rsidR="00000000" w:rsidRPr="00000000">
        <w:rPr>
          <w:rtl w:val="0"/>
        </w:rPr>
      </w:r>
    </w:p>
    <w:p w:rsidR="00000000" w:rsidDel="00000000" w:rsidP="00000000" w:rsidRDefault="00000000" w:rsidRPr="00000000" w14:paraId="0000013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organizes its strategy around four themes:</w:t>
        <w:br w:type="textWrapping"/>
      </w:r>
      <w:r w:rsidDel="00000000" w:rsidR="00000000" w:rsidRPr="00000000">
        <w:rPr>
          <w:rtl w:val="0"/>
        </w:rPr>
      </w:r>
    </w:p>
    <w:p w:rsidR="00000000" w:rsidDel="00000000" w:rsidP="00000000" w:rsidRDefault="00000000" w:rsidRPr="00000000" w14:paraId="00000132">
      <w:pPr>
        <w:numPr>
          <w:ilvl w:val="1"/>
          <w:numId w:val="9"/>
        </w:numPr>
        <w:spacing w:after="0" w:afterAutospacing="0" w:before="0" w:beforeAutospacing="0" w:lineRule="auto"/>
        <w:ind w:left="1440" w:hanging="360"/>
        <w:jc w:val="both"/>
      </w:pPr>
      <w:r w:rsidDel="00000000" w:rsidR="00000000" w:rsidRPr="00000000">
        <w:rPr>
          <w:rtl w:val="0"/>
        </w:rPr>
        <w:t xml:space="preserve">Meeting evolving client needs.</w:t>
        <w:br w:type="textWrapping"/>
      </w:r>
      <w:r w:rsidDel="00000000" w:rsidR="00000000" w:rsidRPr="00000000">
        <w:rPr>
          <w:rtl w:val="0"/>
        </w:rPr>
      </w:r>
    </w:p>
    <w:p w:rsidR="00000000" w:rsidDel="00000000" w:rsidP="00000000" w:rsidRDefault="00000000" w:rsidRPr="00000000" w14:paraId="00000133">
      <w:pPr>
        <w:numPr>
          <w:ilvl w:val="1"/>
          <w:numId w:val="9"/>
        </w:numPr>
        <w:spacing w:after="0" w:afterAutospacing="0" w:before="0" w:beforeAutospacing="0" w:lineRule="auto"/>
        <w:ind w:left="1440" w:hanging="360"/>
        <w:jc w:val="both"/>
      </w:pPr>
      <w:r w:rsidDel="00000000" w:rsidR="00000000" w:rsidRPr="00000000">
        <w:rPr>
          <w:rtl w:val="0"/>
        </w:rPr>
        <w:t xml:space="preserve">Scaling investment and distribution capabilities.</w:t>
        <w:br w:type="textWrapping"/>
      </w:r>
      <w:r w:rsidDel="00000000" w:rsidR="00000000" w:rsidRPr="00000000">
        <w:rPr>
          <w:rtl w:val="0"/>
        </w:rPr>
      </w:r>
    </w:p>
    <w:p w:rsidR="00000000" w:rsidDel="00000000" w:rsidP="00000000" w:rsidRDefault="00000000" w:rsidRPr="00000000" w14:paraId="00000134">
      <w:pPr>
        <w:numPr>
          <w:ilvl w:val="1"/>
          <w:numId w:val="9"/>
        </w:numPr>
        <w:spacing w:after="0" w:afterAutospacing="0" w:before="0" w:beforeAutospacing="0" w:lineRule="auto"/>
        <w:ind w:left="1440" w:hanging="360"/>
        <w:jc w:val="both"/>
      </w:pPr>
      <w:r w:rsidDel="00000000" w:rsidR="00000000" w:rsidRPr="00000000">
        <w:rPr>
          <w:rtl w:val="0"/>
        </w:rPr>
        <w:t xml:space="preserve">Embedding next-generation technology.</w:t>
        <w:br w:type="textWrapping"/>
      </w:r>
      <w:r w:rsidDel="00000000" w:rsidR="00000000" w:rsidRPr="00000000">
        <w:rPr>
          <w:rtl w:val="0"/>
        </w:rPr>
      </w:r>
    </w:p>
    <w:p w:rsidR="00000000" w:rsidDel="00000000" w:rsidP="00000000" w:rsidRDefault="00000000" w:rsidRPr="00000000" w14:paraId="00000135">
      <w:pPr>
        <w:numPr>
          <w:ilvl w:val="1"/>
          <w:numId w:val="9"/>
        </w:numPr>
        <w:spacing w:after="0" w:afterAutospacing="0" w:before="0" w:beforeAutospacing="0" w:lineRule="auto"/>
        <w:ind w:left="1440" w:hanging="360"/>
        <w:jc w:val="both"/>
      </w:pPr>
      <w:r w:rsidDel="00000000" w:rsidR="00000000" w:rsidRPr="00000000">
        <w:rPr>
          <w:rtl w:val="0"/>
        </w:rPr>
        <w:t xml:space="preserve">Strengthening financial flexibility and operating leverage.</w:t>
        <w:br w:type="textWrapping"/>
      </w:r>
      <w:r w:rsidDel="00000000" w:rsidR="00000000" w:rsidRPr="00000000">
        <w:rPr>
          <w:rtl w:val="0"/>
        </w:rPr>
      </w:r>
    </w:p>
    <w:p w:rsidR="00000000" w:rsidDel="00000000" w:rsidP="00000000" w:rsidRDefault="00000000" w:rsidRPr="00000000" w14:paraId="00000136">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is oriented around:</w:t>
        <w:br w:type="textWrapping"/>
      </w:r>
      <w:r w:rsidDel="00000000" w:rsidR="00000000" w:rsidRPr="00000000">
        <w:rPr>
          <w:rtl w:val="0"/>
        </w:rPr>
      </w:r>
    </w:p>
    <w:p w:rsidR="00000000" w:rsidDel="00000000" w:rsidP="00000000" w:rsidRDefault="00000000" w:rsidRPr="00000000" w14:paraId="00000137">
      <w:pPr>
        <w:numPr>
          <w:ilvl w:val="1"/>
          <w:numId w:val="9"/>
        </w:numPr>
        <w:spacing w:after="0" w:afterAutospacing="0" w:before="0" w:beforeAutospacing="0" w:lineRule="auto"/>
        <w:ind w:left="1440" w:hanging="360"/>
        <w:jc w:val="both"/>
      </w:pPr>
      <w:r w:rsidDel="00000000" w:rsidR="00000000" w:rsidRPr="00000000">
        <w:rPr>
          <w:rtl w:val="0"/>
        </w:rPr>
        <w:t xml:space="preserve">Scaling </w:t>
      </w:r>
      <w:r w:rsidDel="00000000" w:rsidR="00000000" w:rsidRPr="00000000">
        <w:rPr>
          <w:b w:val="1"/>
          <w:bCs w:val="1"/>
          <w:rtl w:val="0"/>
        </w:rPr>
        <w:t xml:space="preserve">State Street Alpha</w:t>
      </w:r>
      <w:r w:rsidDel="00000000" w:rsidR="00000000" w:rsidRPr="00000000">
        <w:rPr>
          <w:rtl w:val="0"/>
        </w:rPr>
        <w:t xml:space="preserve"> mandates.</w:t>
        <w:br w:type="textWrapping"/>
      </w:r>
      <w:r w:rsidDel="00000000" w:rsidR="00000000" w:rsidRPr="00000000">
        <w:rPr>
          <w:rtl w:val="0"/>
        </w:rPr>
      </w:r>
    </w:p>
    <w:p w:rsidR="00000000" w:rsidDel="00000000" w:rsidP="00000000" w:rsidRDefault="00000000" w:rsidRPr="00000000" w14:paraId="00000138">
      <w:pPr>
        <w:numPr>
          <w:ilvl w:val="1"/>
          <w:numId w:val="9"/>
        </w:numPr>
        <w:spacing w:after="0" w:afterAutospacing="0" w:before="0" w:beforeAutospacing="0" w:lineRule="auto"/>
        <w:ind w:left="1440" w:hanging="360"/>
        <w:jc w:val="both"/>
      </w:pPr>
      <w:r w:rsidDel="00000000" w:rsidR="00000000" w:rsidRPr="00000000">
        <w:rPr>
          <w:rtl w:val="0"/>
        </w:rPr>
        <w:t xml:space="preserve">Enhancing operational efficiency.</w:t>
        <w:br w:type="textWrapping"/>
      </w:r>
      <w:r w:rsidDel="00000000" w:rsidR="00000000" w:rsidRPr="00000000">
        <w:rPr>
          <w:rtl w:val="0"/>
        </w:rPr>
      </w:r>
    </w:p>
    <w:p w:rsidR="00000000" w:rsidDel="00000000" w:rsidP="00000000" w:rsidRDefault="00000000" w:rsidRPr="00000000" w14:paraId="00000139">
      <w:pPr>
        <w:numPr>
          <w:ilvl w:val="1"/>
          <w:numId w:val="9"/>
        </w:numPr>
        <w:spacing w:after="240" w:before="0" w:beforeAutospacing="0" w:lineRule="auto"/>
        <w:ind w:left="1440" w:hanging="360"/>
        <w:jc w:val="both"/>
      </w:pPr>
      <w:r w:rsidDel="00000000" w:rsidR="00000000" w:rsidRPr="00000000">
        <w:rPr>
          <w:rtl w:val="0"/>
        </w:rPr>
        <w:t xml:space="preserve">Deepening its role in </w:t>
      </w:r>
      <w:r w:rsidDel="00000000" w:rsidR="00000000" w:rsidRPr="00000000">
        <w:rPr>
          <w:b w:val="1"/>
          <w:bCs w:val="1"/>
          <w:rtl w:val="0"/>
        </w:rPr>
        <w:t xml:space="preserve">wealth and alternatives servicing</w:t>
      </w:r>
      <w:r w:rsidDel="00000000" w:rsidR="00000000" w:rsidRPr="00000000">
        <w:rPr>
          <w:rtl w:val="0"/>
        </w:rPr>
        <w:t xml:space="preserve"> and other complex, data-heavy areas.</w:t>
      </w:r>
    </w:p>
    <w:p w:rsidR="00000000" w:rsidDel="00000000" w:rsidP="00000000" w:rsidRDefault="00000000" w:rsidRPr="00000000" w14:paraId="0000013A">
      <w:pPr>
        <w:pStyle w:val="Heading3"/>
        <w:keepNext w:val="0"/>
        <w:keepLines w:val="0"/>
        <w:spacing w:before="280" w:lineRule="auto"/>
        <w:jc w:val="both"/>
        <w:rPr>
          <w:b w:val="1"/>
          <w:bCs w:val="1"/>
          <w:color w:val="000000"/>
          <w:sz w:val="26"/>
          <w:szCs w:val="26"/>
        </w:rPr>
      </w:pPr>
      <w:bookmarkStart w:colFirst="0" w:colLast="0" w:name="_eaqgg4shxzx2" w:id="53"/>
      <w:bookmarkEnd w:id="53"/>
      <w:r w:rsidDel="00000000" w:rsidR="00000000" w:rsidRPr="00000000">
        <w:rPr>
          <w:b w:val="1"/>
          <w:bCs w:val="1"/>
          <w:color w:val="000000"/>
          <w:sz w:val="26"/>
          <w:szCs w:val="26"/>
          <w:rtl w:val="0"/>
        </w:rPr>
        <w:t xml:space="preserve">The Role of Mergers &amp; Acquisitions (M&amp;A)</w:t>
      </w:r>
    </w:p>
    <w:p w:rsidR="00000000" w:rsidDel="00000000" w:rsidP="00000000" w:rsidRDefault="00000000" w:rsidRPr="00000000" w14:paraId="0000013B">
      <w:pPr>
        <w:numPr>
          <w:ilvl w:val="0"/>
          <w:numId w:val="13"/>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 uses M&amp;A aggressively to acquire capabilities in private markets and data/analytics (e.g., GIP, HPS, Preqin).</w:t>
        <w:br w:type="textWrapping"/>
      </w:r>
      <w:r w:rsidDel="00000000" w:rsidR="00000000" w:rsidRPr="00000000">
        <w:rPr>
          <w:rtl w:val="0"/>
        </w:rPr>
      </w:r>
    </w:p>
    <w:p w:rsidR="00000000" w:rsidDel="00000000" w:rsidP="00000000" w:rsidRDefault="00000000" w:rsidRPr="00000000" w14:paraId="0000013C">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’s acquisition of Charles River Development was foundational for Alpha; its decision to walk away from the proposed BBH Investor Services acquisition shows strategic and financial discipline.</w:t>
        <w:br w:type="textWrapping"/>
      </w:r>
      <w:r w:rsidDel="00000000" w:rsidR="00000000" w:rsidRPr="00000000">
        <w:rPr>
          <w:rtl w:val="0"/>
        </w:rPr>
      </w:r>
    </w:p>
    <w:p w:rsidR="00000000" w:rsidDel="00000000" w:rsidP="00000000" w:rsidRDefault="00000000" w:rsidRPr="00000000" w14:paraId="0000013D">
      <w:pPr>
        <w:numPr>
          <w:ilvl w:val="0"/>
          <w:numId w:val="13"/>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’s recent disclosures emphasize organic growth and platform optimization, with no equally large, transformative deals highlighted in the same period.</w:t>
      </w:r>
    </w:p>
    <w:p w:rsidR="00000000" w:rsidDel="00000000" w:rsidP="00000000" w:rsidRDefault="00000000" w:rsidRPr="00000000" w14:paraId="0000013E">
      <w:pPr>
        <w:pStyle w:val="Heading3"/>
        <w:keepNext w:val="0"/>
        <w:keepLines w:val="0"/>
        <w:spacing w:before="280" w:lineRule="auto"/>
        <w:jc w:val="both"/>
        <w:rPr>
          <w:b w:val="1"/>
          <w:bCs w:val="1"/>
          <w:color w:val="000000"/>
          <w:sz w:val="26"/>
          <w:szCs w:val="26"/>
        </w:rPr>
      </w:pPr>
      <w:bookmarkStart w:colFirst="0" w:colLast="0" w:name="_sytkxf36g7zx" w:id="54"/>
      <w:bookmarkEnd w:id="54"/>
      <w:r w:rsidDel="00000000" w:rsidR="00000000" w:rsidRPr="00000000">
        <w:rPr>
          <w:b w:val="1"/>
          <w:bCs w:val="1"/>
          <w:color w:val="000000"/>
          <w:sz w:val="26"/>
          <w:szCs w:val="26"/>
          <w:rtl w:val="0"/>
        </w:rPr>
        <w:t xml:space="preserve">Expansion Plans and Response to Industry Trends</w:t>
      </w:r>
    </w:p>
    <w:p w:rsidR="00000000" w:rsidDel="00000000" w:rsidP="00000000" w:rsidRDefault="00000000" w:rsidRPr="00000000" w14:paraId="0000013F">
      <w:pPr>
        <w:numPr>
          <w:ilvl w:val="0"/>
          <w:numId w:val="21"/>
        </w:numPr>
        <w:spacing w:after="0" w:afterAutospacing="0" w:before="240" w:lineRule="auto"/>
        <w:ind w:left="720" w:hanging="360"/>
        <w:jc w:val="both"/>
      </w:pPr>
      <w:r w:rsidDel="00000000" w:rsidR="00000000" w:rsidRPr="00000000">
        <w:rPr>
          <w:rtl w:val="0"/>
        </w:rPr>
        <w:t xml:space="preserve">BlackRock is </w:t>
      </w:r>
      <w:r w:rsidDel="00000000" w:rsidR="00000000" w:rsidRPr="00000000">
        <w:rPr>
          <w:b w:val="1"/>
          <w:bCs w:val="1"/>
          <w:rtl w:val="0"/>
        </w:rPr>
        <w:t xml:space="preserve">re-mixing its business</w:t>
      </w:r>
      <w:r w:rsidDel="00000000" w:rsidR="00000000" w:rsidRPr="00000000">
        <w:rPr>
          <w:rtl w:val="0"/>
        </w:rPr>
        <w:t xml:space="preserve"> toward alternatives and technology/data, seeking higher-margin, secular growth areas.</w:t>
        <w:br w:type="textWrapping"/>
      </w:r>
      <w:r w:rsidDel="00000000" w:rsidR="00000000" w:rsidRPr="00000000">
        <w:rPr>
          <w:rtl w:val="0"/>
        </w:rPr>
      </w:r>
    </w:p>
    <w:p w:rsidR="00000000" w:rsidDel="00000000" w:rsidP="00000000" w:rsidRDefault="00000000" w:rsidRPr="00000000" w14:paraId="00000140">
      <w:pPr>
        <w:numPr>
          <w:ilvl w:val="0"/>
          <w:numId w:val="21"/>
        </w:numPr>
        <w:spacing w:after="0" w:afterAutospacing="0" w:before="0" w:beforeAutospacing="0" w:lineRule="auto"/>
        <w:ind w:left="720" w:hanging="360"/>
        <w:jc w:val="both"/>
      </w:pPr>
      <w:r w:rsidDel="00000000" w:rsidR="00000000" w:rsidRPr="00000000">
        <w:rPr>
          <w:rtl w:val="0"/>
        </w:rPr>
        <w:t xml:space="preserve">State Street is </w:t>
      </w:r>
      <w:r w:rsidDel="00000000" w:rsidR="00000000" w:rsidRPr="00000000">
        <w:rPr>
          <w:b w:val="1"/>
          <w:bCs w:val="1"/>
          <w:rtl w:val="0"/>
        </w:rPr>
        <w:t xml:space="preserve">deepening its servicing franchise</w:t>
      </w:r>
      <w:r w:rsidDel="00000000" w:rsidR="00000000" w:rsidRPr="00000000">
        <w:rPr>
          <w:rtl w:val="0"/>
        </w:rPr>
        <w:t xml:space="preserve"> to support those same asset classes and strategies for institutional clients.</w:t>
        <w:br w:type="textWrapping"/>
      </w:r>
      <w:r w:rsidDel="00000000" w:rsidR="00000000" w:rsidRPr="00000000">
        <w:rPr>
          <w:rtl w:val="0"/>
        </w:rPr>
      </w:r>
    </w:p>
    <w:p w:rsidR="00000000" w:rsidDel="00000000" w:rsidP="00000000" w:rsidRDefault="00000000" w:rsidRPr="00000000" w14:paraId="00000141">
      <w:pPr>
        <w:numPr>
          <w:ilvl w:val="0"/>
          <w:numId w:val="21"/>
        </w:numPr>
        <w:spacing w:after="240" w:before="0" w:beforeAutospacing="0" w:lineRule="auto"/>
        <w:ind w:left="720" w:hanging="360"/>
        <w:jc w:val="both"/>
      </w:pPr>
      <w:r w:rsidDel="00000000" w:rsidR="00000000" w:rsidRPr="00000000">
        <w:rPr>
          <w:rtl w:val="0"/>
        </w:rPr>
        <w:t xml:space="preserve">Invesco is </w:t>
      </w:r>
      <w:r w:rsidDel="00000000" w:rsidR="00000000" w:rsidRPr="00000000">
        <w:rPr>
          <w:b w:val="1"/>
          <w:bCs w:val="1"/>
          <w:rtl w:val="0"/>
        </w:rPr>
        <w:t xml:space="preserve">scaling capabilities and improving efficiency</w:t>
      </w:r>
      <w:r w:rsidDel="00000000" w:rsidR="00000000" w:rsidRPr="00000000">
        <w:rPr>
          <w:rtl w:val="0"/>
        </w:rPr>
        <w:t xml:space="preserve">, aiming to strengthen its competitive position without relying on transformational M&amp;A.</w:t>
      </w:r>
    </w:p>
    <w:p w:rsidR="00000000" w:rsidDel="00000000" w:rsidP="00000000" w:rsidRDefault="00000000" w:rsidRPr="00000000" w14:paraId="000001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jc w:val="both"/>
        <w:rPr>
          <w:b w:val="1"/>
          <w:bCs w:val="1"/>
          <w:sz w:val="34"/>
          <w:szCs w:val="34"/>
        </w:rPr>
      </w:pPr>
      <w:bookmarkStart w:colFirst="0" w:colLast="0" w:name="_agvdfnhjij8h" w:id="55"/>
      <w:bookmarkEnd w:id="55"/>
      <w:r w:rsidDel="00000000" w:rsidR="00000000" w:rsidRPr="00000000">
        <w:rPr>
          <w:rtl w:val="0"/>
        </w:rPr>
      </w:r>
    </w:p>
    <w:p w:rsidR="00000000" w:rsidDel="00000000" w:rsidP="00000000" w:rsidRDefault="00000000" w:rsidRPr="00000000" w14:paraId="00000144">
      <w:pPr>
        <w:pStyle w:val="Heading2"/>
        <w:keepNext w:val="0"/>
        <w:keepLines w:val="0"/>
        <w:spacing w:after="80" w:lineRule="auto"/>
        <w:jc w:val="both"/>
        <w:rPr>
          <w:b w:val="1"/>
          <w:bCs w:val="1"/>
          <w:sz w:val="34"/>
          <w:szCs w:val="34"/>
        </w:rPr>
      </w:pPr>
      <w:bookmarkStart w:colFirst="0" w:colLast="0" w:name="_hukivju5y3hc" w:id="56"/>
      <w:bookmarkEnd w:id="56"/>
      <w:r w:rsidDel="00000000" w:rsidR="00000000" w:rsidRPr="00000000">
        <w:rPr>
          <w:b w:val="1"/>
          <w:bCs w:val="1"/>
          <w:sz w:val="34"/>
          <w:szCs w:val="34"/>
          <w:rtl w:val="0"/>
        </w:rPr>
        <w:t xml:space="preserve">10.0 Competitive Position Synthesis</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This section summarizes each firm’s core strengths and vulnerabilities.</w:t>
      </w:r>
    </w:p>
    <w:p w:rsidR="00000000" w:rsidDel="00000000" w:rsidP="00000000" w:rsidRDefault="00000000" w:rsidRPr="00000000" w14:paraId="00000146">
      <w:pPr>
        <w:pStyle w:val="Heading3"/>
        <w:keepNext w:val="0"/>
        <w:keepLines w:val="0"/>
        <w:spacing w:before="280" w:lineRule="auto"/>
        <w:jc w:val="both"/>
        <w:rPr>
          <w:b w:val="1"/>
          <w:bCs w:val="1"/>
          <w:color w:val="000000"/>
          <w:sz w:val="26"/>
          <w:szCs w:val="26"/>
        </w:rPr>
      </w:pPr>
      <w:bookmarkStart w:colFirst="0" w:colLast="0" w:name="_vkcoqi75m9bz" w:id="57"/>
      <w:bookmarkEnd w:id="57"/>
      <w:r w:rsidDel="00000000" w:rsidR="00000000" w:rsidRPr="00000000">
        <w:rPr>
          <w:b w:val="1"/>
          <w:bCs w:val="1"/>
          <w:color w:val="000000"/>
          <w:sz w:val="26"/>
          <w:szCs w:val="26"/>
          <w:rtl w:val="0"/>
        </w:rPr>
        <w:t xml:space="preserve">BlackRock</w:t>
      </w:r>
    </w:p>
    <w:p w:rsidR="00000000" w:rsidDel="00000000" w:rsidP="00000000" w:rsidRDefault="00000000" w:rsidRPr="00000000" w14:paraId="00000147">
      <w:pPr>
        <w:spacing w:after="240" w:before="240" w:lineRule="auto"/>
        <w:jc w:val="both"/>
        <w:rPr>
          <w:b w:val="1"/>
          <w:bCs w:val="1"/>
        </w:rPr>
      </w:pPr>
      <w:r w:rsidDel="00000000" w:rsidR="00000000" w:rsidRPr="00000000">
        <w:rPr>
          <w:b w:val="1"/>
          <w:bCs w:val="1"/>
          <w:rtl w:val="0"/>
        </w:rPr>
        <w:t xml:space="preserve">Key Strengths</w:t>
      </w:r>
    </w:p>
    <w:p w:rsidR="00000000" w:rsidDel="00000000" w:rsidP="00000000" w:rsidRDefault="00000000" w:rsidRPr="00000000" w14:paraId="00000148">
      <w:pPr>
        <w:numPr>
          <w:ilvl w:val="0"/>
          <w:numId w:val="24"/>
        </w:numPr>
        <w:spacing w:after="0" w:afterAutospacing="0" w:before="240" w:lineRule="auto"/>
        <w:ind w:left="720" w:hanging="360"/>
        <w:jc w:val="both"/>
      </w:pPr>
      <w:r w:rsidDel="00000000" w:rsidR="00000000" w:rsidRPr="00000000">
        <w:rPr>
          <w:rtl w:val="0"/>
        </w:rPr>
        <w:t xml:space="preserve">Immense scale (</w:t>
      </w:r>
      <w:r w:rsidDel="00000000" w:rsidR="00000000" w:rsidRPr="00000000">
        <w:rPr>
          <w:b w:val="1"/>
          <w:bCs w:val="1"/>
          <w:rtl w:val="0"/>
        </w:rPr>
        <w:t xml:space="preserve">$11.55T AUM</w:t>
      </w:r>
      <w:r w:rsidDel="00000000" w:rsidR="00000000" w:rsidRPr="00000000">
        <w:rPr>
          <w:rtl w:val="0"/>
        </w:rPr>
        <w:t xml:space="preserve">) providing operating leverage and market influence.</w:t>
        <w:br w:type="textWrapping"/>
      </w:r>
      <w:r w:rsidDel="00000000" w:rsidR="00000000" w:rsidRPr="00000000">
        <w:rPr>
          <w:rtl w:val="0"/>
        </w:rPr>
      </w:r>
    </w:p>
    <w:p w:rsidR="00000000" w:rsidDel="00000000" w:rsidP="00000000" w:rsidRDefault="00000000" w:rsidRPr="00000000" w14:paraId="00000149">
      <w:pPr>
        <w:numPr>
          <w:ilvl w:val="0"/>
          <w:numId w:val="24"/>
        </w:numPr>
        <w:spacing w:after="0" w:afterAutospacing="0" w:before="0" w:beforeAutospacing="0" w:lineRule="auto"/>
        <w:ind w:left="720" w:hanging="360"/>
        <w:jc w:val="both"/>
      </w:pPr>
      <w:r w:rsidDel="00000000" w:rsidR="00000000" w:rsidRPr="00000000">
        <w:rPr>
          <w:rtl w:val="0"/>
        </w:rPr>
        <w:t xml:space="preserve">Leadership in both active and passive investing, especially </w:t>
      </w:r>
      <w:r w:rsidDel="00000000" w:rsidR="00000000" w:rsidRPr="00000000">
        <w:rPr>
          <w:b w:val="1"/>
          <w:bCs w:val="1"/>
          <w:rtl w:val="0"/>
        </w:rPr>
        <w:t xml:space="preserve">iShares ETFs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4A">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Aladdin</w:t>
      </w:r>
      <w:r w:rsidDel="00000000" w:rsidR="00000000" w:rsidRPr="00000000">
        <w:rPr>
          <w:rtl w:val="0"/>
        </w:rPr>
        <w:t xml:space="preserve"> as a powerful, revenue-generating technology and data moat.</w:t>
        <w:br w:type="textWrapping"/>
      </w:r>
      <w:r w:rsidDel="00000000" w:rsidR="00000000" w:rsidRPr="00000000">
        <w:rPr>
          <w:rtl w:val="0"/>
        </w:rPr>
      </w:r>
    </w:p>
    <w:p w:rsidR="00000000" w:rsidDel="00000000" w:rsidP="00000000" w:rsidRDefault="00000000" w:rsidRPr="00000000" w14:paraId="0000014B">
      <w:pPr>
        <w:numPr>
          <w:ilvl w:val="0"/>
          <w:numId w:val="24"/>
        </w:numPr>
        <w:spacing w:after="240" w:before="0" w:beforeAutospacing="0" w:lineRule="auto"/>
        <w:ind w:left="720" w:hanging="360"/>
        <w:jc w:val="both"/>
      </w:pPr>
      <w:r w:rsidDel="00000000" w:rsidR="00000000" w:rsidRPr="00000000">
        <w:rPr>
          <w:rtl w:val="0"/>
        </w:rPr>
        <w:t xml:space="preserve">Proven track record of strategic, capability-enhancing acquisitions.</w:t>
      </w:r>
    </w:p>
    <w:p w:rsidR="00000000" w:rsidDel="00000000" w:rsidP="00000000" w:rsidRDefault="00000000" w:rsidRPr="00000000" w14:paraId="0000014C">
      <w:pPr>
        <w:spacing w:after="240" w:before="240" w:lineRule="auto"/>
        <w:jc w:val="both"/>
        <w:rPr>
          <w:b w:val="1"/>
          <w:bCs w:val="1"/>
        </w:rPr>
      </w:pPr>
      <w:r w:rsidDel="00000000" w:rsidR="00000000" w:rsidRPr="00000000">
        <w:rPr>
          <w:b w:val="1"/>
          <w:bCs w:val="1"/>
          <w:rtl w:val="0"/>
        </w:rPr>
        <w:t xml:space="preserve">Key Vulnerabilities</w:t>
      </w:r>
    </w:p>
    <w:p w:rsidR="00000000" w:rsidDel="00000000" w:rsidP="00000000" w:rsidRDefault="00000000" w:rsidRPr="00000000" w14:paraId="0000014D">
      <w:pPr>
        <w:numPr>
          <w:ilvl w:val="0"/>
          <w:numId w:val="32"/>
        </w:numPr>
        <w:spacing w:after="0" w:afterAutospacing="0" w:before="240" w:lineRule="auto"/>
        <w:ind w:left="720" w:hanging="360"/>
        <w:jc w:val="both"/>
      </w:pPr>
      <w:r w:rsidDel="00000000" w:rsidR="00000000" w:rsidRPr="00000000">
        <w:rPr>
          <w:rtl w:val="0"/>
        </w:rPr>
        <w:t xml:space="preserve">Heightened regulatory scrutiny and SIFI designation risk.</w:t>
        <w:br w:type="textWrapping"/>
      </w:r>
      <w:r w:rsidDel="00000000" w:rsidR="00000000" w:rsidRPr="00000000">
        <w:rPr>
          <w:rtl w:val="0"/>
        </w:rPr>
      </w:r>
    </w:p>
    <w:p w:rsidR="00000000" w:rsidDel="00000000" w:rsidP="00000000" w:rsidRDefault="00000000" w:rsidRPr="00000000" w14:paraId="0000014E">
      <w:pPr>
        <w:numPr>
          <w:ilvl w:val="0"/>
          <w:numId w:val="32"/>
        </w:numPr>
        <w:spacing w:after="240" w:before="0" w:beforeAutospacing="0" w:lineRule="auto"/>
        <w:ind w:left="720" w:hanging="360"/>
        <w:jc w:val="both"/>
      </w:pPr>
      <w:r w:rsidDel="00000000" w:rsidR="00000000" w:rsidRPr="00000000">
        <w:rPr>
          <w:rtl w:val="0"/>
        </w:rPr>
        <w:t xml:space="preserve">Integration complexity and execution risk around large acquisitions (e.g., GIP, HPS, Preqin).</w:t>
      </w:r>
    </w:p>
    <w:p w:rsidR="00000000" w:rsidDel="00000000" w:rsidP="00000000" w:rsidRDefault="00000000" w:rsidRPr="00000000" w14:paraId="0000014F">
      <w:pPr>
        <w:pStyle w:val="Heading3"/>
        <w:keepNext w:val="0"/>
        <w:keepLines w:val="0"/>
        <w:spacing w:before="280" w:lineRule="auto"/>
        <w:jc w:val="both"/>
        <w:rPr>
          <w:b w:val="1"/>
          <w:bCs w:val="1"/>
          <w:color w:val="000000"/>
          <w:sz w:val="26"/>
          <w:szCs w:val="26"/>
        </w:rPr>
      </w:pPr>
      <w:bookmarkStart w:colFirst="0" w:colLast="0" w:name="_6dawlsingno7" w:id="58"/>
      <w:bookmarkEnd w:id="58"/>
      <w:r w:rsidDel="00000000" w:rsidR="00000000" w:rsidRPr="00000000">
        <w:rPr>
          <w:b w:val="1"/>
          <w:bCs w:val="1"/>
          <w:color w:val="000000"/>
          <w:sz w:val="26"/>
          <w:szCs w:val="26"/>
          <w:rtl w:val="0"/>
        </w:rPr>
        <w:t xml:space="preserve">Invesco</w:t>
      </w:r>
    </w:p>
    <w:p w:rsidR="00000000" w:rsidDel="00000000" w:rsidP="00000000" w:rsidRDefault="00000000" w:rsidRPr="00000000" w14:paraId="00000150">
      <w:pPr>
        <w:spacing w:after="240" w:before="240" w:lineRule="auto"/>
        <w:jc w:val="both"/>
        <w:rPr>
          <w:b w:val="1"/>
          <w:bCs w:val="1"/>
        </w:rPr>
      </w:pPr>
      <w:r w:rsidDel="00000000" w:rsidR="00000000" w:rsidRPr="00000000">
        <w:rPr>
          <w:b w:val="1"/>
          <w:bCs w:val="1"/>
          <w:rtl w:val="0"/>
        </w:rPr>
        <w:t xml:space="preserve">Key Strengths</w:t>
      </w:r>
    </w:p>
    <w:p w:rsidR="00000000" w:rsidDel="00000000" w:rsidP="00000000" w:rsidRDefault="00000000" w:rsidRPr="00000000" w14:paraId="00000151">
      <w:pPr>
        <w:numPr>
          <w:ilvl w:val="0"/>
          <w:numId w:val="11"/>
        </w:numPr>
        <w:spacing w:after="0" w:afterAutospacing="0" w:before="240" w:lineRule="auto"/>
        <w:ind w:left="720" w:hanging="360"/>
        <w:jc w:val="both"/>
      </w:pPr>
      <w:r w:rsidDel="00000000" w:rsidR="00000000" w:rsidRPr="00000000">
        <w:rPr>
          <w:rtl w:val="0"/>
        </w:rPr>
        <w:t xml:space="preserve">Large, </w:t>
      </w:r>
      <w:r w:rsidDel="00000000" w:rsidR="00000000" w:rsidRPr="00000000">
        <w:rPr>
          <w:b w:val="1"/>
          <w:bCs w:val="1"/>
          <w:rtl w:val="0"/>
        </w:rPr>
        <w:t xml:space="preserve">independent global investment manager</w:t>
      </w:r>
      <w:r w:rsidDel="00000000" w:rsidR="00000000" w:rsidRPr="00000000">
        <w:rPr>
          <w:rtl w:val="0"/>
        </w:rPr>
        <w:t xml:space="preserve"> without custody/banking conflicts.</w:t>
        <w:br w:type="textWrapping"/>
      </w:r>
      <w:r w:rsidDel="00000000" w:rsidR="00000000" w:rsidRPr="00000000">
        <w:rPr>
          <w:rtl w:val="0"/>
        </w:rPr>
      </w:r>
    </w:p>
    <w:p w:rsidR="00000000" w:rsidDel="00000000" w:rsidP="00000000" w:rsidRDefault="00000000" w:rsidRPr="00000000" w14:paraId="00000152">
      <w:pPr>
        <w:numPr>
          <w:ilvl w:val="0"/>
          <w:numId w:val="11"/>
        </w:numPr>
        <w:spacing w:after="0" w:afterAutospacing="0" w:before="0" w:beforeAutospacing="0" w:lineRule="auto"/>
        <w:ind w:left="720" w:hanging="360"/>
        <w:jc w:val="both"/>
      </w:pPr>
      <w:r w:rsidDel="00000000" w:rsidR="00000000" w:rsidRPr="00000000">
        <w:rPr>
          <w:rtl w:val="0"/>
        </w:rPr>
        <w:t xml:space="preserve">Diversified client base with </w:t>
      </w:r>
      <w:r w:rsidDel="00000000" w:rsidR="00000000" w:rsidRPr="00000000">
        <w:rPr>
          <w:b w:val="1"/>
          <w:bCs w:val="1"/>
          <w:rtl w:val="0"/>
        </w:rPr>
        <w:t xml:space="preserve">$1,265.6bn retail</w:t>
      </w:r>
      <w:r w:rsidDel="00000000" w:rsidR="00000000" w:rsidRPr="00000000">
        <w:rPr>
          <w:rtl w:val="0"/>
        </w:rPr>
        <w:t xml:space="preserve"> and </w:t>
      </w:r>
      <w:r w:rsidDel="00000000" w:rsidR="00000000" w:rsidRPr="00000000">
        <w:rPr>
          <w:b w:val="1"/>
          <w:bCs w:val="1"/>
          <w:rtl w:val="0"/>
        </w:rPr>
        <w:t xml:space="preserve">$580.4bn institutional</w:t>
      </w:r>
      <w:r w:rsidDel="00000000" w:rsidR="00000000" w:rsidRPr="00000000">
        <w:rPr>
          <w:rtl w:val="0"/>
        </w:rPr>
        <w:t xml:space="preserve"> AUM.</w:t>
        <w:br w:type="textWrapping"/>
      </w:r>
      <w:r w:rsidDel="00000000" w:rsidR="00000000" w:rsidRPr="00000000">
        <w:rPr>
          <w:rtl w:val="0"/>
        </w:rPr>
      </w:r>
    </w:p>
    <w:p w:rsidR="00000000" w:rsidDel="00000000" w:rsidP="00000000" w:rsidRDefault="00000000" w:rsidRPr="00000000" w14:paraId="00000153">
      <w:pPr>
        <w:numPr>
          <w:ilvl w:val="0"/>
          <w:numId w:val="11"/>
        </w:numPr>
        <w:spacing w:after="240" w:before="0" w:beforeAutospacing="0" w:lineRule="auto"/>
        <w:ind w:left="720" w:hanging="360"/>
        <w:jc w:val="both"/>
      </w:pPr>
      <w:r w:rsidDel="00000000" w:rsidR="00000000" w:rsidRPr="00000000">
        <w:rPr>
          <w:rtl w:val="0"/>
        </w:rPr>
        <w:t xml:space="preserve">Broad capabilities across ETFs &amp; Index, QQQ, fundamental active, private markets, APAC and liquidity.</w:t>
      </w:r>
    </w:p>
    <w:p w:rsidR="00000000" w:rsidDel="00000000" w:rsidP="00000000" w:rsidRDefault="00000000" w:rsidRPr="00000000" w14:paraId="00000154">
      <w:pPr>
        <w:spacing w:after="240" w:before="240" w:lineRule="auto"/>
        <w:jc w:val="both"/>
        <w:rPr>
          <w:b w:val="1"/>
          <w:bCs w:val="1"/>
        </w:rPr>
      </w:pPr>
      <w:r w:rsidDel="00000000" w:rsidR="00000000" w:rsidRPr="00000000">
        <w:rPr>
          <w:b w:val="1"/>
          <w:bCs w:val="1"/>
          <w:rtl w:val="0"/>
        </w:rPr>
        <w:t xml:space="preserve">Key Vulnerabilities</w:t>
      </w:r>
    </w:p>
    <w:p w:rsidR="00000000" w:rsidDel="00000000" w:rsidP="00000000" w:rsidRDefault="00000000" w:rsidRPr="00000000" w14:paraId="00000155">
      <w:pPr>
        <w:numPr>
          <w:ilvl w:val="0"/>
          <w:numId w:val="23"/>
        </w:numPr>
        <w:spacing w:after="0" w:afterAutospacing="0" w:before="240" w:lineRule="auto"/>
        <w:ind w:left="720" w:hanging="360"/>
        <w:jc w:val="both"/>
      </w:pPr>
      <w:r w:rsidDel="00000000" w:rsidR="00000000" w:rsidRPr="00000000">
        <w:rPr>
          <w:b w:val="1"/>
          <w:bCs w:val="1"/>
          <w:rtl w:val="0"/>
        </w:rPr>
        <w:t xml:space="preserve">Relative lack of scale</w:t>
      </w:r>
      <w:r w:rsidDel="00000000" w:rsidR="00000000" w:rsidRPr="00000000">
        <w:rPr>
          <w:rtl w:val="0"/>
        </w:rPr>
        <w:t xml:space="preserve"> versus mega-managers like BlackRock limits operating leverage.</w:t>
        <w:br w:type="textWrapping"/>
      </w:r>
      <w:r w:rsidDel="00000000" w:rsidR="00000000" w:rsidRPr="00000000">
        <w:rPr>
          <w:rtl w:val="0"/>
        </w:rPr>
      </w:r>
    </w:p>
    <w:p w:rsidR="00000000" w:rsidDel="00000000" w:rsidP="00000000" w:rsidRDefault="00000000" w:rsidRPr="00000000" w14:paraId="00000156">
      <w:pPr>
        <w:numPr>
          <w:ilvl w:val="0"/>
          <w:numId w:val="23"/>
        </w:numPr>
        <w:spacing w:after="0" w:afterAutospacing="0" w:before="0" w:beforeAutospacing="0" w:lineRule="auto"/>
        <w:ind w:left="720" w:hanging="360"/>
        <w:jc w:val="both"/>
      </w:pPr>
      <w:r w:rsidDel="00000000" w:rsidR="00000000" w:rsidRPr="00000000">
        <w:rPr>
          <w:rtl w:val="0"/>
        </w:rPr>
        <w:t xml:space="preserve">High exposure to industry-wide fee and margin pressure.</w:t>
        <w:br w:type="textWrapping"/>
      </w:r>
      <w:r w:rsidDel="00000000" w:rsidR="00000000" w:rsidRPr="00000000">
        <w:rPr>
          <w:rtl w:val="0"/>
        </w:rPr>
      </w:r>
    </w:p>
    <w:p w:rsidR="00000000" w:rsidDel="00000000" w:rsidP="00000000" w:rsidRDefault="00000000" w:rsidRPr="00000000" w14:paraId="00000157">
      <w:pPr>
        <w:numPr>
          <w:ilvl w:val="0"/>
          <w:numId w:val="23"/>
        </w:numPr>
        <w:spacing w:after="240" w:before="0" w:beforeAutospacing="0" w:lineRule="auto"/>
        <w:ind w:left="720" w:hanging="360"/>
        <w:jc w:val="both"/>
      </w:pPr>
      <w:r w:rsidDel="00000000" w:rsidR="00000000" w:rsidRPr="00000000">
        <w:rPr>
          <w:rtl w:val="0"/>
        </w:rPr>
        <w:t xml:space="preserve">No flagship external platform comparable to Aladdin or Alpha, making its technology differentiation less visible.</w:t>
      </w:r>
    </w:p>
    <w:p w:rsidR="00000000" w:rsidDel="00000000" w:rsidP="00000000" w:rsidRDefault="00000000" w:rsidRPr="00000000" w14:paraId="00000158">
      <w:pPr>
        <w:pStyle w:val="Heading3"/>
        <w:keepNext w:val="0"/>
        <w:keepLines w:val="0"/>
        <w:spacing w:before="280" w:lineRule="auto"/>
        <w:jc w:val="both"/>
        <w:rPr>
          <w:b w:val="1"/>
          <w:bCs w:val="1"/>
          <w:color w:val="000000"/>
          <w:sz w:val="26"/>
          <w:szCs w:val="26"/>
        </w:rPr>
      </w:pPr>
      <w:bookmarkStart w:colFirst="0" w:colLast="0" w:name="_q1jadsa9k6ch" w:id="59"/>
      <w:bookmarkEnd w:id="59"/>
      <w:r w:rsidDel="00000000" w:rsidR="00000000" w:rsidRPr="00000000">
        <w:rPr>
          <w:b w:val="1"/>
          <w:bCs w:val="1"/>
          <w:color w:val="000000"/>
          <w:sz w:val="26"/>
          <w:szCs w:val="26"/>
          <w:rtl w:val="0"/>
        </w:rPr>
        <w:t xml:space="preserve">State Street</w:t>
      </w:r>
    </w:p>
    <w:p w:rsidR="00000000" w:rsidDel="00000000" w:rsidP="00000000" w:rsidRDefault="00000000" w:rsidRPr="00000000" w14:paraId="00000159">
      <w:pPr>
        <w:spacing w:after="240" w:before="240" w:lineRule="auto"/>
        <w:jc w:val="both"/>
        <w:rPr>
          <w:b w:val="1"/>
          <w:bCs w:val="1"/>
        </w:rPr>
      </w:pPr>
      <w:r w:rsidDel="00000000" w:rsidR="00000000" w:rsidRPr="00000000">
        <w:rPr>
          <w:b w:val="1"/>
          <w:bCs w:val="1"/>
          <w:rtl w:val="0"/>
        </w:rPr>
        <w:t xml:space="preserve">Key Strengths</w:t>
      </w:r>
    </w:p>
    <w:p w:rsidR="00000000" w:rsidDel="00000000" w:rsidP="00000000" w:rsidRDefault="00000000" w:rsidRPr="00000000" w14:paraId="0000015A">
      <w:pPr>
        <w:numPr>
          <w:ilvl w:val="0"/>
          <w:numId w:val="10"/>
        </w:numPr>
        <w:spacing w:after="0" w:afterAutospacing="0" w:before="240" w:lineRule="auto"/>
        <w:ind w:left="720" w:hanging="360"/>
        <w:jc w:val="both"/>
      </w:pPr>
      <w:r w:rsidDel="00000000" w:rsidR="00000000" w:rsidRPr="00000000">
        <w:rPr>
          <w:rtl w:val="0"/>
        </w:rPr>
        <w:t xml:space="preserve">Entrenched position as a </w:t>
      </w:r>
      <w:r w:rsidDel="00000000" w:rsidR="00000000" w:rsidRPr="00000000">
        <w:rPr>
          <w:b w:val="1"/>
          <w:bCs w:val="1"/>
          <w:rtl w:val="0"/>
        </w:rPr>
        <w:t xml:space="preserve">top-tier global custodian and servicer</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5B">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State Street Alpha</w:t>
      </w:r>
      <w:r w:rsidDel="00000000" w:rsidR="00000000" w:rsidRPr="00000000">
        <w:rPr>
          <w:rtl w:val="0"/>
        </w:rPr>
        <w:t xml:space="preserve"> as a compelling front-to-back platform with high client switching costs.</w:t>
        <w:br w:type="textWrapping"/>
      </w:r>
      <w:r w:rsidDel="00000000" w:rsidR="00000000" w:rsidRPr="00000000">
        <w:rPr>
          <w:rtl w:val="0"/>
        </w:rPr>
      </w:r>
    </w:p>
    <w:p w:rsidR="00000000" w:rsidDel="00000000" w:rsidP="00000000" w:rsidRDefault="00000000" w:rsidRPr="00000000" w14:paraId="0000015C">
      <w:pPr>
        <w:numPr>
          <w:ilvl w:val="0"/>
          <w:numId w:val="10"/>
        </w:numPr>
        <w:spacing w:after="240" w:before="0" w:beforeAutospacing="0" w:lineRule="auto"/>
        <w:ind w:left="720" w:hanging="360"/>
        <w:jc w:val="both"/>
      </w:pPr>
      <w:r w:rsidDel="00000000" w:rsidR="00000000" w:rsidRPr="00000000">
        <w:rPr>
          <w:rtl w:val="0"/>
        </w:rPr>
        <w:t xml:space="preserve">G-SIB status underpins perceived systemic stability.</w:t>
        <w:br w:type="textWrapping"/>
      </w:r>
    </w:p>
    <w:p w:rsidR="00000000" w:rsidDel="00000000" w:rsidP="00000000" w:rsidRDefault="00000000" w:rsidRPr="00000000" w14:paraId="0000015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5E">
      <w:pPr>
        <w:spacing w:after="240" w:before="240" w:lineRule="auto"/>
        <w:jc w:val="both"/>
        <w:rPr>
          <w:b w:val="1"/>
          <w:bCs w:val="1"/>
        </w:rPr>
      </w:pPr>
      <w:r w:rsidDel="00000000" w:rsidR="00000000" w:rsidRPr="00000000">
        <w:rPr>
          <w:b w:val="1"/>
          <w:bCs w:val="1"/>
          <w:rtl w:val="0"/>
        </w:rPr>
        <w:t xml:space="preserve">Key Vulnerabilities</w:t>
      </w:r>
    </w:p>
    <w:p w:rsidR="00000000" w:rsidDel="00000000" w:rsidP="00000000" w:rsidRDefault="00000000" w:rsidRPr="00000000" w14:paraId="0000015F">
      <w:pPr>
        <w:numPr>
          <w:ilvl w:val="0"/>
          <w:numId w:val="2"/>
        </w:numPr>
        <w:spacing w:after="0" w:afterAutospacing="0" w:before="240" w:lineRule="auto"/>
        <w:ind w:left="720" w:hanging="360"/>
        <w:jc w:val="both"/>
      </w:pPr>
      <w:r w:rsidDel="00000000" w:rsidR="00000000" w:rsidRPr="00000000">
        <w:rPr>
          <w:rtl w:val="0"/>
        </w:rPr>
        <w:t xml:space="preserve">Lower-margin servicing business model compared to fee-rich asset management.</w:t>
        <w:br w:type="textWrapping"/>
      </w:r>
      <w:r w:rsidDel="00000000" w:rsidR="00000000" w:rsidRPr="00000000">
        <w:rPr>
          <w:rtl w:val="0"/>
        </w:rPr>
      </w:r>
    </w:p>
    <w:p w:rsidR="00000000" w:rsidDel="00000000" w:rsidP="00000000" w:rsidRDefault="00000000" w:rsidRPr="00000000" w14:paraId="00000160">
      <w:pPr>
        <w:numPr>
          <w:ilvl w:val="0"/>
          <w:numId w:val="2"/>
        </w:numPr>
        <w:spacing w:after="0" w:afterAutospacing="0" w:before="0" w:beforeAutospacing="0" w:lineRule="auto"/>
        <w:ind w:left="720" w:hanging="360"/>
        <w:jc w:val="both"/>
      </w:pPr>
      <w:r w:rsidDel="00000000" w:rsidR="00000000" w:rsidRPr="00000000">
        <w:rPr>
          <w:rtl w:val="0"/>
        </w:rPr>
        <w:t xml:space="preserve">Earnings sensitivity to </w:t>
      </w:r>
      <w:r w:rsidDel="00000000" w:rsidR="00000000" w:rsidRPr="00000000">
        <w:rPr>
          <w:b w:val="1"/>
          <w:bCs w:val="1"/>
          <w:rtl w:val="0"/>
        </w:rPr>
        <w:t xml:space="preserve">interest rates</w:t>
      </w:r>
      <w:r w:rsidDel="00000000" w:rsidR="00000000" w:rsidRPr="00000000">
        <w:rPr>
          <w:rtl w:val="0"/>
        </w:rPr>
        <w:t xml:space="preserve"> through NII.</w:t>
        <w:br w:type="textWrapping"/>
      </w:r>
      <w:r w:rsidDel="00000000" w:rsidR="00000000" w:rsidRPr="00000000">
        <w:rPr>
          <w:rtl w:val="0"/>
        </w:rPr>
      </w:r>
    </w:p>
    <w:p w:rsidR="00000000" w:rsidDel="00000000" w:rsidP="00000000" w:rsidRDefault="00000000" w:rsidRPr="00000000" w14:paraId="00000161">
      <w:pPr>
        <w:numPr>
          <w:ilvl w:val="0"/>
          <w:numId w:val="2"/>
        </w:numPr>
        <w:spacing w:after="240" w:before="0" w:beforeAutospacing="0" w:lineRule="auto"/>
        <w:ind w:left="720" w:hanging="360"/>
        <w:jc w:val="both"/>
      </w:pPr>
      <w:r w:rsidDel="00000000" w:rsidR="00000000" w:rsidRPr="00000000">
        <w:rPr>
          <w:rtl w:val="0"/>
        </w:rPr>
        <w:t xml:space="preserve">Heavy and costly regulatory burden as a G-SIB, which can constrain strategic flexibility.</w:t>
      </w:r>
    </w:p>
    <w:p w:rsidR="00000000" w:rsidDel="00000000" w:rsidP="00000000" w:rsidRDefault="00000000" w:rsidRPr="00000000" w14:paraId="00000162">
      <w:pPr>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jc w:val="both"/>
        <w:rPr>
          <w:b w:val="1"/>
          <w:bCs w:val="1"/>
          <w:sz w:val="34"/>
          <w:szCs w:val="34"/>
        </w:rPr>
      </w:pPr>
      <w:bookmarkStart w:colFirst="0" w:colLast="0" w:name="_iua9v4exzdv1" w:id="60"/>
      <w:bookmarkEnd w:id="60"/>
      <w:r w:rsidDel="00000000" w:rsidR="00000000" w:rsidRPr="00000000">
        <w:rPr>
          <w:b w:val="1"/>
          <w:bCs w:val="1"/>
          <w:sz w:val="34"/>
          <w:szCs w:val="34"/>
          <w:rtl w:val="0"/>
        </w:rPr>
        <w:t xml:space="preserve">11.0 Forward Outlook &amp; Strategic Implications</w:t>
      </w:r>
    </w:p>
    <w:p w:rsidR="00000000" w:rsidDel="00000000" w:rsidP="00000000" w:rsidRDefault="00000000" w:rsidRPr="00000000" w14:paraId="00000164">
      <w:pPr>
        <w:pStyle w:val="Heading3"/>
        <w:keepNext w:val="0"/>
        <w:keepLines w:val="0"/>
        <w:spacing w:before="280" w:lineRule="auto"/>
        <w:jc w:val="both"/>
        <w:rPr>
          <w:b w:val="1"/>
          <w:bCs w:val="1"/>
          <w:color w:val="000000"/>
          <w:sz w:val="26"/>
          <w:szCs w:val="26"/>
        </w:rPr>
      </w:pPr>
      <w:bookmarkStart w:colFirst="0" w:colLast="0" w:name="_z63nv5bfb9fb" w:id="61"/>
      <w:bookmarkEnd w:id="61"/>
      <w:r w:rsidDel="00000000" w:rsidR="00000000" w:rsidRPr="00000000">
        <w:rPr>
          <w:b w:val="1"/>
          <w:bCs w:val="1"/>
          <w:color w:val="000000"/>
          <w:sz w:val="26"/>
          <w:szCs w:val="26"/>
          <w:rtl w:val="0"/>
        </w:rPr>
        <w:t xml:space="preserve">Positioning for Major Industry Trends</w:t>
      </w:r>
    </w:p>
    <w:p w:rsidR="00000000" w:rsidDel="00000000" w:rsidP="00000000" w:rsidRDefault="00000000" w:rsidRPr="00000000" w14:paraId="00000165">
      <w:pPr>
        <w:numPr>
          <w:ilvl w:val="0"/>
          <w:numId w:val="12"/>
        </w:numPr>
        <w:spacing w:after="0" w:afterAutospacing="0" w:before="240" w:lineRule="auto"/>
        <w:ind w:left="720" w:hanging="360"/>
        <w:jc w:val="both"/>
      </w:pPr>
      <w:r w:rsidDel="00000000" w:rsidR="00000000" w:rsidRPr="00000000">
        <w:rPr>
          <w:b w:val="1"/>
          <w:bCs w:val="1"/>
          <w:rtl w:val="0"/>
        </w:rPr>
        <w:t xml:space="preserve">Growth of Private Markets &amp; Alternatives</w:t>
        <w:br w:type="textWrapping"/>
      </w:r>
      <w:r w:rsidDel="00000000" w:rsidR="00000000" w:rsidRPr="00000000">
        <w:rPr>
          <w:rtl w:val="0"/>
        </w:rPr>
      </w:r>
    </w:p>
    <w:p w:rsidR="00000000" w:rsidDel="00000000" w:rsidP="00000000" w:rsidRDefault="00000000" w:rsidRPr="00000000" w14:paraId="00000166">
      <w:pPr>
        <w:numPr>
          <w:ilvl w:val="1"/>
          <w:numId w:val="12"/>
        </w:numPr>
        <w:spacing w:after="0" w:afterAutospacing="0" w:before="0" w:beforeAutospacing="0" w:lineRule="auto"/>
        <w:ind w:left="1440" w:hanging="360"/>
        <w:jc w:val="both"/>
      </w:pPr>
      <w:r w:rsidDel="00000000" w:rsidR="00000000" w:rsidRPr="00000000">
        <w:rPr>
          <w:rtl w:val="0"/>
        </w:rPr>
        <w:t xml:space="preserve">BlackRock is directly targeting growth via acquisitions of private markets managers and data providers.</w:t>
        <w:br w:type="textWrapping"/>
      </w:r>
      <w:r w:rsidDel="00000000" w:rsidR="00000000" w:rsidRPr="00000000">
        <w:rPr>
          <w:rtl w:val="0"/>
        </w:rPr>
      </w:r>
    </w:p>
    <w:p w:rsidR="00000000" w:rsidDel="00000000" w:rsidP="00000000" w:rsidRDefault="00000000" w:rsidRPr="00000000" w14:paraId="00000167">
      <w:pPr>
        <w:numPr>
          <w:ilvl w:val="1"/>
          <w:numId w:val="12"/>
        </w:numPr>
        <w:spacing w:after="0" w:afterAutospacing="0" w:before="0" w:beforeAutospacing="0" w:lineRule="auto"/>
        <w:ind w:left="1440" w:hanging="360"/>
        <w:jc w:val="both"/>
      </w:pPr>
      <w:r w:rsidDel="00000000" w:rsidR="00000000" w:rsidRPr="00000000">
        <w:rPr>
          <w:rtl w:val="0"/>
        </w:rPr>
        <w:t xml:space="preserve">State Street is positioning to be the </w:t>
      </w:r>
      <w:r w:rsidDel="00000000" w:rsidR="00000000" w:rsidRPr="00000000">
        <w:rPr>
          <w:b w:val="1"/>
          <w:bCs w:val="1"/>
          <w:rtl w:val="0"/>
        </w:rPr>
        <w:t xml:space="preserve">infrastructure provider</w:t>
      </w:r>
      <w:r w:rsidDel="00000000" w:rsidR="00000000" w:rsidRPr="00000000">
        <w:rPr>
          <w:rtl w:val="0"/>
        </w:rPr>
        <w:t xml:space="preserve"> for alternatives, especially through Alpha.</w:t>
        <w:br w:type="textWrapping"/>
      </w:r>
      <w:r w:rsidDel="00000000" w:rsidR="00000000" w:rsidRPr="00000000">
        <w:rPr>
          <w:rtl w:val="0"/>
        </w:rPr>
      </w:r>
    </w:p>
    <w:p w:rsidR="00000000" w:rsidDel="00000000" w:rsidP="00000000" w:rsidRDefault="00000000" w:rsidRPr="00000000" w14:paraId="00000168">
      <w:pPr>
        <w:numPr>
          <w:ilvl w:val="1"/>
          <w:numId w:val="12"/>
        </w:numPr>
        <w:spacing w:after="0" w:afterAutospacing="0" w:before="0" w:beforeAutospacing="0" w:lineRule="auto"/>
        <w:ind w:left="1440" w:hanging="360"/>
        <w:jc w:val="both"/>
      </w:pPr>
      <w:r w:rsidDel="00000000" w:rsidR="00000000" w:rsidRPr="00000000">
        <w:rPr>
          <w:rtl w:val="0"/>
        </w:rPr>
        <w:t xml:space="preserve">Invesco is building out </w:t>
      </w:r>
      <w:r w:rsidDel="00000000" w:rsidR="00000000" w:rsidRPr="00000000">
        <w:rPr>
          <w:b w:val="1"/>
          <w:bCs w:val="1"/>
          <w:rtl w:val="0"/>
        </w:rPr>
        <w:t xml:space="preserve">Private Markets ($128.5bn)</w:t>
      </w:r>
      <w:r w:rsidDel="00000000" w:rsidR="00000000" w:rsidRPr="00000000">
        <w:rPr>
          <w:rtl w:val="0"/>
        </w:rPr>
        <w:t xml:space="preserve"> but at a smaller scale.</w:t>
        <w:br w:type="textWrapping"/>
      </w:r>
      <w:r w:rsidDel="00000000" w:rsidR="00000000" w:rsidRPr="00000000">
        <w:rPr>
          <w:rtl w:val="0"/>
        </w:rPr>
      </w:r>
    </w:p>
    <w:p w:rsidR="00000000" w:rsidDel="00000000" w:rsidP="00000000" w:rsidRDefault="00000000" w:rsidRPr="00000000" w14:paraId="00000169">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Demand for Integrated Technology Solutions</w:t>
        <w:br w:type="textWrapping"/>
      </w:r>
      <w:r w:rsidDel="00000000" w:rsidR="00000000" w:rsidRPr="00000000">
        <w:rPr>
          <w:rtl w:val="0"/>
        </w:rPr>
      </w:r>
    </w:p>
    <w:p w:rsidR="00000000" w:rsidDel="00000000" w:rsidP="00000000" w:rsidRDefault="00000000" w:rsidRPr="00000000" w14:paraId="0000016A">
      <w:pPr>
        <w:numPr>
          <w:ilvl w:val="1"/>
          <w:numId w:val="12"/>
        </w:numPr>
        <w:spacing w:after="0" w:afterAutospacing="0" w:before="0" w:beforeAutospacing="0" w:lineRule="auto"/>
        <w:ind w:left="1440" w:hanging="360"/>
        <w:jc w:val="both"/>
      </w:pPr>
      <w:r w:rsidDel="00000000" w:rsidR="00000000" w:rsidRPr="00000000">
        <w:rPr>
          <w:rtl w:val="0"/>
        </w:rPr>
        <w:t xml:space="preserve">BlackRock’s </w:t>
      </w:r>
      <w:r w:rsidDel="00000000" w:rsidR="00000000" w:rsidRPr="00000000">
        <w:rPr>
          <w:b w:val="1"/>
          <w:bCs w:val="1"/>
          <w:rtl w:val="0"/>
        </w:rPr>
        <w:t xml:space="preserve">Aladdin</w:t>
      </w:r>
      <w:r w:rsidDel="00000000" w:rsidR="00000000" w:rsidRPr="00000000">
        <w:rPr>
          <w:rtl w:val="0"/>
        </w:rPr>
        <w:t xml:space="preserve"> vs. State Street’s </w:t>
      </w:r>
      <w:r w:rsidDel="00000000" w:rsidR="00000000" w:rsidRPr="00000000">
        <w:rPr>
          <w:b w:val="1"/>
          <w:bCs w:val="1"/>
          <w:rtl w:val="0"/>
        </w:rPr>
        <w:t xml:space="preserve">Alpha</w:t>
      </w:r>
      <w:r w:rsidDel="00000000" w:rsidR="00000000" w:rsidRPr="00000000">
        <w:rPr>
          <w:rtl w:val="0"/>
        </w:rPr>
        <w:t xml:space="preserve"> will define a large part of the institutional tech landscape.</w:t>
        <w:br w:type="textWrapping"/>
      </w:r>
      <w:r w:rsidDel="00000000" w:rsidR="00000000" w:rsidRPr="00000000">
        <w:rPr>
          <w:rtl w:val="0"/>
        </w:rPr>
      </w:r>
    </w:p>
    <w:p w:rsidR="00000000" w:rsidDel="00000000" w:rsidP="00000000" w:rsidRDefault="00000000" w:rsidRPr="00000000" w14:paraId="0000016B">
      <w:pPr>
        <w:numPr>
          <w:ilvl w:val="1"/>
          <w:numId w:val="12"/>
        </w:numPr>
        <w:spacing w:after="0" w:afterAutospacing="0" w:before="0" w:beforeAutospacing="0" w:lineRule="auto"/>
        <w:ind w:left="1440" w:hanging="360"/>
        <w:jc w:val="both"/>
      </w:pPr>
      <w:r w:rsidDel="00000000" w:rsidR="00000000" w:rsidRPr="00000000">
        <w:rPr>
          <w:rtl w:val="0"/>
        </w:rPr>
        <w:t xml:space="preserve">Aladdin emphasizes open, best-of-breed integration; Alpha emphasizes seamlessness with State Street’s servicing.</w:t>
        <w:br w:type="textWrapping"/>
      </w:r>
      <w:r w:rsidDel="00000000" w:rsidR="00000000" w:rsidRPr="00000000">
        <w:rPr>
          <w:rtl w:val="0"/>
        </w:rPr>
      </w:r>
    </w:p>
    <w:p w:rsidR="00000000" w:rsidDel="00000000" w:rsidP="00000000" w:rsidRDefault="00000000" w:rsidRPr="00000000" w14:paraId="0000016C">
      <w:pPr>
        <w:numPr>
          <w:ilvl w:val="1"/>
          <w:numId w:val="12"/>
        </w:numPr>
        <w:spacing w:after="0" w:afterAutospacing="0" w:before="0" w:beforeAutospacing="0" w:lineRule="auto"/>
        <w:ind w:left="1440" w:hanging="360"/>
        <w:jc w:val="both"/>
      </w:pPr>
      <w:r w:rsidDel="00000000" w:rsidR="00000000" w:rsidRPr="00000000">
        <w:rPr>
          <w:rtl w:val="0"/>
        </w:rPr>
        <w:t xml:space="preserve">Invesco’s focus remains on internal technology and client experience rather than platform sales.</w:t>
        <w:br w:type="textWrapping"/>
      </w:r>
      <w:r w:rsidDel="00000000" w:rsidR="00000000" w:rsidRPr="00000000">
        <w:rPr>
          <w:rtl w:val="0"/>
        </w:rPr>
      </w:r>
    </w:p>
    <w:p w:rsidR="00000000" w:rsidDel="00000000" w:rsidP="00000000" w:rsidRDefault="00000000" w:rsidRPr="00000000" w14:paraId="0000016D">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Persistent Fee and Margin Pressure</w:t>
        <w:br w:type="textWrapping"/>
      </w:r>
      <w:r w:rsidDel="00000000" w:rsidR="00000000" w:rsidRPr="00000000">
        <w:rPr>
          <w:rtl w:val="0"/>
        </w:rPr>
      </w:r>
    </w:p>
    <w:p w:rsidR="00000000" w:rsidDel="00000000" w:rsidP="00000000" w:rsidRDefault="00000000" w:rsidRPr="00000000" w14:paraId="0000016E">
      <w:pPr>
        <w:numPr>
          <w:ilvl w:val="1"/>
          <w:numId w:val="12"/>
        </w:numPr>
        <w:spacing w:after="0" w:afterAutospacing="0" w:before="0" w:beforeAutospacing="0" w:lineRule="auto"/>
        <w:ind w:left="1440" w:hanging="360"/>
        <w:jc w:val="both"/>
      </w:pPr>
      <w:r w:rsidDel="00000000" w:rsidR="00000000" w:rsidRPr="00000000">
        <w:rPr>
          <w:rtl w:val="0"/>
        </w:rPr>
        <w:t xml:space="preserve">BlackRock’s scale enables it to maintain strong margins even as fees compress.</w:t>
        <w:br w:type="textWrapping"/>
      </w:r>
      <w:r w:rsidDel="00000000" w:rsidR="00000000" w:rsidRPr="00000000">
        <w:rPr>
          <w:rtl w:val="0"/>
        </w:rPr>
      </w:r>
    </w:p>
    <w:p w:rsidR="00000000" w:rsidDel="00000000" w:rsidP="00000000" w:rsidRDefault="00000000" w:rsidRPr="00000000" w14:paraId="0000016F">
      <w:pPr>
        <w:numPr>
          <w:ilvl w:val="1"/>
          <w:numId w:val="12"/>
        </w:numPr>
        <w:spacing w:after="0" w:afterAutospacing="0" w:before="0" w:beforeAutospacing="0" w:lineRule="auto"/>
        <w:ind w:left="1440" w:hanging="360"/>
        <w:jc w:val="both"/>
      </w:pPr>
      <w:r w:rsidDel="00000000" w:rsidR="00000000" w:rsidRPr="00000000">
        <w:rPr>
          <w:rtl w:val="0"/>
        </w:rPr>
        <w:t xml:space="preserve">State Street’s servicing- and NII-driven model is partially insulated from direct fee cuts in asset management, though it faces its own pricing pressures.</w:t>
        <w:br w:type="textWrapping"/>
      </w:r>
      <w:r w:rsidDel="00000000" w:rsidR="00000000" w:rsidRPr="00000000">
        <w:rPr>
          <w:rtl w:val="0"/>
        </w:rPr>
      </w:r>
    </w:p>
    <w:p w:rsidR="00000000" w:rsidDel="00000000" w:rsidP="00000000" w:rsidRDefault="00000000" w:rsidRPr="00000000" w14:paraId="00000170">
      <w:pPr>
        <w:numPr>
          <w:ilvl w:val="1"/>
          <w:numId w:val="12"/>
        </w:numPr>
        <w:spacing w:after="240" w:before="0" w:beforeAutospacing="0" w:lineRule="auto"/>
        <w:ind w:left="1440" w:hanging="360"/>
        <w:jc w:val="both"/>
      </w:pPr>
      <w:r w:rsidDel="00000000" w:rsidR="00000000" w:rsidRPr="00000000">
        <w:rPr>
          <w:rtl w:val="0"/>
        </w:rPr>
        <w:t xml:space="preserve">Invesco, with lower scale and a more traditional asset-management revenue mix, appears </w:t>
      </w:r>
      <w:r w:rsidDel="00000000" w:rsidR="00000000" w:rsidRPr="00000000">
        <w:rPr>
          <w:b w:val="1"/>
          <w:bCs w:val="1"/>
          <w:rtl w:val="0"/>
        </w:rPr>
        <w:t xml:space="preserve">most vulnerable</w:t>
      </w:r>
      <w:r w:rsidDel="00000000" w:rsidR="00000000" w:rsidRPr="00000000">
        <w:rPr>
          <w:rtl w:val="0"/>
        </w:rPr>
        <w:t xml:space="preserve">, making operating leverage and cost discipline critical.</w:t>
      </w:r>
    </w:p>
    <w:p w:rsidR="00000000" w:rsidDel="00000000" w:rsidP="00000000" w:rsidRDefault="00000000" w:rsidRPr="00000000" w14:paraId="00000171">
      <w:pPr>
        <w:pStyle w:val="Heading3"/>
        <w:keepNext w:val="0"/>
        <w:keepLines w:val="0"/>
        <w:spacing w:before="280" w:lineRule="auto"/>
        <w:jc w:val="both"/>
        <w:rPr>
          <w:b w:val="1"/>
          <w:bCs w:val="1"/>
          <w:color w:val="000000"/>
          <w:sz w:val="26"/>
          <w:szCs w:val="26"/>
        </w:rPr>
      </w:pPr>
      <w:bookmarkStart w:colFirst="0" w:colLast="0" w:name="_ij6cfq690jop" w:id="62"/>
      <w:bookmarkEnd w:id="62"/>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jc w:val="both"/>
        <w:rPr>
          <w:b w:val="1"/>
          <w:bCs w:val="1"/>
          <w:color w:val="000000"/>
          <w:sz w:val="26"/>
          <w:szCs w:val="26"/>
        </w:rPr>
      </w:pPr>
      <w:bookmarkStart w:colFirst="0" w:colLast="0" w:name="_ypddcitaqwb7" w:id="63"/>
      <w:bookmarkEnd w:id="63"/>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jc w:val="both"/>
        <w:rPr>
          <w:b w:val="1"/>
          <w:bCs w:val="1"/>
          <w:color w:val="000000"/>
          <w:sz w:val="26"/>
          <w:szCs w:val="26"/>
        </w:rPr>
      </w:pPr>
      <w:bookmarkStart w:colFirst="0" w:colLast="0" w:name="_3skvxujtghmy" w:id="64"/>
      <w:bookmarkEnd w:id="64"/>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jc w:val="both"/>
        <w:rPr>
          <w:b w:val="1"/>
          <w:bCs w:val="1"/>
          <w:color w:val="000000"/>
          <w:sz w:val="26"/>
          <w:szCs w:val="26"/>
        </w:rPr>
      </w:pPr>
      <w:bookmarkStart w:colFirst="0" w:colLast="0" w:name="_mqjkm9vfe6od" w:id="65"/>
      <w:bookmarkEnd w:id="65"/>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jc w:val="both"/>
        <w:rPr>
          <w:b w:val="1"/>
          <w:bCs w:val="1"/>
          <w:color w:val="000000"/>
          <w:sz w:val="26"/>
          <w:szCs w:val="26"/>
        </w:rPr>
      </w:pPr>
      <w:bookmarkStart w:colFirst="0" w:colLast="0" w:name="_2ks8c1fyejbp" w:id="66"/>
      <w:bookmarkEnd w:id="66"/>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jc w:val="both"/>
        <w:rPr>
          <w:b w:val="1"/>
          <w:bCs w:val="1"/>
          <w:color w:val="000000"/>
          <w:sz w:val="26"/>
          <w:szCs w:val="26"/>
        </w:rPr>
      </w:pPr>
      <w:bookmarkStart w:colFirst="0" w:colLast="0" w:name="_zxu2hl0cd52" w:id="67"/>
      <w:bookmarkEnd w:id="67"/>
      <w:r w:rsidDel="00000000" w:rsidR="00000000" w:rsidRPr="00000000">
        <w:rPr>
          <w:b w:val="1"/>
          <w:bCs w:val="1"/>
          <w:color w:val="000000"/>
          <w:sz w:val="26"/>
          <w:szCs w:val="26"/>
          <w:rtl w:val="0"/>
        </w:rPr>
        <w:t xml:space="preserve">Anticipated Next Competitive Moves</w:t>
      </w:r>
    </w:p>
    <w:p w:rsidR="00000000" w:rsidDel="00000000" w:rsidP="00000000" w:rsidRDefault="00000000" w:rsidRPr="00000000" w14:paraId="00000177">
      <w:pPr>
        <w:numPr>
          <w:ilvl w:val="0"/>
          <w:numId w:val="3"/>
        </w:numPr>
        <w:spacing w:after="0" w:afterAutospacing="0" w:before="240" w:lineRule="auto"/>
        <w:ind w:left="720" w:hanging="360"/>
        <w:jc w:val="both"/>
      </w:pPr>
      <w:r w:rsidDel="00000000" w:rsidR="00000000" w:rsidRPr="00000000">
        <w:rPr>
          <w:b w:val="1"/>
          <w:bCs w:val="1"/>
          <w:rtl w:val="0"/>
        </w:rPr>
        <w:t xml:space="preserve">BlackRock:</w:t>
      </w:r>
      <w:r w:rsidDel="00000000" w:rsidR="00000000" w:rsidRPr="00000000">
        <w:rPr>
          <w:rtl w:val="0"/>
        </w:rPr>
        <w:t xml:space="preserve">Continue strategic M&amp;A, deepen AI and data capabilities, and expand Aladdin reach across public and private markets.</w:t>
        <w:br w:type="textWrapping"/>
      </w:r>
      <w:r w:rsidDel="00000000" w:rsidR="00000000" w:rsidRPr="00000000">
        <w:rPr>
          <w:rtl w:val="0"/>
        </w:rPr>
      </w:r>
    </w:p>
    <w:p w:rsidR="00000000" w:rsidDel="00000000" w:rsidP="00000000" w:rsidRDefault="00000000" w:rsidRPr="00000000" w14:paraId="0000017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State Street:</w:t>
      </w:r>
      <w:r w:rsidDel="00000000" w:rsidR="00000000" w:rsidRPr="00000000">
        <w:rPr>
          <w:rtl w:val="0"/>
        </w:rPr>
        <w:t xml:space="preserve"> Win additional Alpha mandates, extend services into wealth and alternatives, and drive further efficiency in its operating model.</w:t>
        <w:br w:type="textWrapping"/>
      </w:r>
      <w:r w:rsidDel="00000000" w:rsidR="00000000" w:rsidRPr="00000000">
        <w:rPr>
          <w:rtl w:val="0"/>
        </w:rPr>
      </w:r>
    </w:p>
    <w:p w:rsidR="00000000" w:rsidDel="00000000" w:rsidP="00000000" w:rsidRDefault="00000000" w:rsidRPr="00000000" w14:paraId="00000179">
      <w:pPr>
        <w:numPr>
          <w:ilvl w:val="0"/>
          <w:numId w:val="3"/>
        </w:numPr>
        <w:spacing w:after="240" w:before="0" w:beforeAutospacing="0" w:lineRule="auto"/>
        <w:ind w:left="720" w:hanging="360"/>
        <w:jc w:val="both"/>
      </w:pPr>
      <w:r w:rsidDel="00000000" w:rsidR="00000000" w:rsidRPr="00000000">
        <w:rPr>
          <w:b w:val="1"/>
          <w:bCs w:val="1"/>
          <w:rtl w:val="0"/>
        </w:rPr>
        <w:t xml:space="preserve">Invesco:</w:t>
      </w:r>
      <w:r w:rsidDel="00000000" w:rsidR="00000000" w:rsidRPr="00000000">
        <w:rPr>
          <w:rtl w:val="0"/>
        </w:rPr>
        <w:t xml:space="preserve"> Focus on efficiency, scaling its strongest capabilities (e.g., ETFs &amp; Index, QQQ, Global Liquidity, key active franchises), and further embedding technology in its processes.</w:t>
        <w:br w:type="textWrapping"/>
      </w:r>
    </w:p>
    <w:p w:rsidR="00000000" w:rsidDel="00000000" w:rsidP="00000000" w:rsidRDefault="00000000" w:rsidRPr="00000000" w14:paraId="0000017A">
      <w:pPr>
        <w:pStyle w:val="Heading3"/>
        <w:keepNext w:val="0"/>
        <w:keepLines w:val="0"/>
        <w:spacing w:before="280" w:lineRule="auto"/>
        <w:jc w:val="both"/>
        <w:rPr>
          <w:b w:val="1"/>
          <w:bCs w:val="1"/>
          <w:color w:val="000000"/>
          <w:sz w:val="26"/>
          <w:szCs w:val="26"/>
        </w:rPr>
      </w:pPr>
      <w:bookmarkStart w:colFirst="0" w:colLast="0" w:name="_migatmo9n1rr" w:id="68"/>
      <w:bookmarkEnd w:id="68"/>
      <w:r w:rsidDel="00000000" w:rsidR="00000000" w:rsidRPr="00000000">
        <w:rPr>
          <w:b w:val="1"/>
          <w:bCs w:val="1"/>
          <w:color w:val="000000"/>
          <w:sz w:val="26"/>
          <w:szCs w:val="26"/>
          <w:rtl w:val="0"/>
        </w:rPr>
        <w:t xml:space="preserve">Critical Takeaways for Senior Management</w:t>
      </w:r>
    </w:p>
    <w:p w:rsidR="00000000" w:rsidDel="00000000" w:rsidP="00000000" w:rsidRDefault="00000000" w:rsidRPr="00000000" w14:paraId="0000017B">
      <w:pPr>
        <w:numPr>
          <w:ilvl w:val="0"/>
          <w:numId w:val="25"/>
        </w:numPr>
        <w:spacing w:after="0" w:before="0" w:lineRule="auto"/>
        <w:ind w:left="720" w:hanging="360"/>
        <w:jc w:val="both"/>
      </w:pPr>
      <w:r w:rsidDel="00000000" w:rsidR="00000000" w:rsidRPr="00000000">
        <w:rPr>
          <w:b w:val="1"/>
          <w:bCs w:val="1"/>
          <w:rtl w:val="0"/>
        </w:rPr>
        <w:t xml:space="preserve">The Battle of Business Models is Real:</w:t>
      </w:r>
      <w:r w:rsidDel="00000000" w:rsidR="00000000" w:rsidRPr="00000000">
        <w:rPr>
          <w:rtl w:val="0"/>
        </w:rPr>
      </w:r>
    </w:p>
    <w:p w:rsidR="00000000" w:rsidDel="00000000" w:rsidP="00000000" w:rsidRDefault="00000000" w:rsidRPr="00000000" w14:paraId="0000017C">
      <w:pPr>
        <w:spacing w:after="0" w:before="0" w:lineRule="auto"/>
        <w:ind w:left="720" w:firstLine="0"/>
        <w:jc w:val="both"/>
        <w:rPr>
          <w:sz w:val="10"/>
          <w:szCs w:val="10"/>
        </w:rPr>
      </w:pPr>
      <w:r w:rsidDel="00000000" w:rsidR="00000000" w:rsidRPr="00000000">
        <w:rPr>
          <w:b w:val="1"/>
          <w:bCs w:val="1"/>
          <w:sz w:val="10"/>
          <w:szCs w:val="10"/>
          <w:rtl w:val="0"/>
        </w:rPr>
        <w:br w:type="textWrapping"/>
      </w:r>
      <w:r w:rsidDel="00000000" w:rsidR="00000000" w:rsidRPr="00000000">
        <w:rPr>
          <w:rtl w:val="0"/>
        </w:rPr>
        <w:t xml:space="preserve">The competitive landscape is a contest between BlackRock’s </w:t>
      </w:r>
      <w:r w:rsidDel="00000000" w:rsidR="00000000" w:rsidRPr="00000000">
        <w:rPr>
          <w:b w:val="1"/>
          <w:bCs w:val="1"/>
          <w:rtl w:val="0"/>
        </w:rPr>
        <w:t xml:space="preserve">scale + technology platform</w:t>
      </w:r>
      <w:r w:rsidDel="00000000" w:rsidR="00000000" w:rsidRPr="00000000">
        <w:rPr>
          <w:rtl w:val="0"/>
        </w:rPr>
        <w:t xml:space="preserve"> model, State Street’s </w:t>
      </w:r>
      <w:r w:rsidDel="00000000" w:rsidR="00000000" w:rsidRPr="00000000">
        <w:rPr>
          <w:b w:val="1"/>
          <w:bCs w:val="1"/>
          <w:rtl w:val="0"/>
        </w:rPr>
        <w:t xml:space="preserve">integrated servicing + platform</w:t>
      </w:r>
      <w:r w:rsidDel="00000000" w:rsidR="00000000" w:rsidRPr="00000000">
        <w:rPr>
          <w:rtl w:val="0"/>
        </w:rPr>
        <w:t xml:space="preserve"> model, and Invesco’s </w:t>
      </w:r>
      <w:r w:rsidDel="00000000" w:rsidR="00000000" w:rsidRPr="00000000">
        <w:rPr>
          <w:b w:val="1"/>
          <w:bCs w:val="1"/>
          <w:rtl w:val="0"/>
        </w:rPr>
        <w:t xml:space="preserve">independent global asset manager</w:t>
      </w:r>
      <w:r w:rsidDel="00000000" w:rsidR="00000000" w:rsidRPr="00000000">
        <w:rPr>
          <w:rtl w:val="0"/>
        </w:rPr>
        <w:t xml:space="preserve"> model. Each has different risk/return and capital intensity characteristics.</w:t>
        <w:br w:type="textWrapping"/>
      </w:r>
      <w:r w:rsidDel="00000000" w:rsidR="00000000" w:rsidRPr="00000000">
        <w:rPr>
          <w:rtl w:val="0"/>
        </w:rPr>
      </w:r>
    </w:p>
    <w:p w:rsidR="00000000" w:rsidDel="00000000" w:rsidP="00000000" w:rsidRDefault="00000000" w:rsidRPr="00000000" w14:paraId="0000017D">
      <w:pPr>
        <w:numPr>
          <w:ilvl w:val="0"/>
          <w:numId w:val="25"/>
        </w:numPr>
        <w:spacing w:after="0" w:before="0" w:lineRule="auto"/>
        <w:ind w:left="720" w:hanging="360"/>
        <w:jc w:val="both"/>
      </w:pPr>
      <w:r w:rsidDel="00000000" w:rsidR="00000000" w:rsidRPr="00000000">
        <w:rPr>
          <w:b w:val="1"/>
          <w:bCs w:val="1"/>
          <w:rtl w:val="0"/>
        </w:rPr>
        <w:t xml:space="preserve">Technology is the New Kingmaker:</w:t>
      </w:r>
      <w:r w:rsidDel="00000000" w:rsidR="00000000" w:rsidRPr="00000000">
        <w:rPr>
          <w:rtl w:val="0"/>
        </w:rPr>
      </w:r>
    </w:p>
    <w:p w:rsidR="00000000" w:rsidDel="00000000" w:rsidP="00000000" w:rsidRDefault="00000000" w:rsidRPr="00000000" w14:paraId="0000017E">
      <w:pPr>
        <w:spacing w:after="0" w:before="0" w:lineRule="auto"/>
        <w:ind w:left="720" w:firstLine="0"/>
        <w:jc w:val="both"/>
        <w:rPr>
          <w:sz w:val="10"/>
          <w:szCs w:val="10"/>
        </w:rPr>
      </w:pPr>
      <w:r w:rsidDel="00000000" w:rsidR="00000000" w:rsidRPr="00000000">
        <w:rPr>
          <w:b w:val="1"/>
          <w:bCs w:val="1"/>
          <w:sz w:val="10"/>
          <w:szCs w:val="10"/>
          <w:rtl w:val="0"/>
        </w:rPr>
        <w:br w:type="textWrapping"/>
      </w:r>
      <w:r w:rsidDel="00000000" w:rsidR="00000000" w:rsidRPr="00000000">
        <w:rPr>
          <w:rtl w:val="0"/>
        </w:rPr>
        <w:t xml:space="preserve">Aladdin and Alpha demonstrate that sophisticated, scalable technology platforms can create durable moats that are difficult and expensive to replicate. Technology strategy is now core to competitive strategy, not a support function.</w:t>
        <w:br w:type="textWrapping"/>
      </w:r>
      <w:r w:rsidDel="00000000" w:rsidR="00000000" w:rsidRPr="00000000">
        <w:rPr>
          <w:rtl w:val="0"/>
        </w:rPr>
      </w:r>
    </w:p>
    <w:p w:rsidR="00000000" w:rsidDel="00000000" w:rsidP="00000000" w:rsidRDefault="00000000" w:rsidRPr="00000000" w14:paraId="0000017F">
      <w:pPr>
        <w:numPr>
          <w:ilvl w:val="0"/>
          <w:numId w:val="25"/>
        </w:numPr>
        <w:spacing w:after="0" w:before="0" w:lineRule="auto"/>
        <w:ind w:left="720" w:hanging="360"/>
        <w:jc w:val="both"/>
      </w:pPr>
      <w:r w:rsidDel="00000000" w:rsidR="00000000" w:rsidRPr="00000000">
        <w:rPr>
          <w:b w:val="1"/>
          <w:bCs w:val="1"/>
          <w:rtl w:val="0"/>
        </w:rPr>
        <w:t xml:space="preserve">The Future is Integrated and Alternative:</w:t>
      </w:r>
      <w:r w:rsidDel="00000000" w:rsidR="00000000" w:rsidRPr="00000000">
        <w:rPr>
          <w:rtl w:val="0"/>
        </w:rPr>
      </w:r>
    </w:p>
    <w:p w:rsidR="00000000" w:rsidDel="00000000" w:rsidP="00000000" w:rsidRDefault="00000000" w:rsidRPr="00000000" w14:paraId="00000180">
      <w:pPr>
        <w:spacing w:after="0" w:before="0" w:lineRule="auto"/>
        <w:ind w:left="720" w:firstLine="0"/>
        <w:jc w:val="both"/>
        <w:rPr/>
      </w:pPr>
      <w:r w:rsidDel="00000000" w:rsidR="00000000" w:rsidRPr="00000000">
        <w:rPr>
          <w:b w:val="1"/>
          <w:bCs w:val="1"/>
          <w:sz w:val="10"/>
          <w:szCs w:val="10"/>
          <w:rtl w:val="0"/>
        </w:rPr>
        <w:br w:type="textWrapping"/>
      </w:r>
      <w:r w:rsidDel="00000000" w:rsidR="00000000" w:rsidRPr="00000000">
        <w:rPr>
          <w:rtl w:val="0"/>
        </w:rPr>
        <w:t xml:space="preserve">Growth is converging on private markets and integrated front-to-back solutions. The winners will either </w:t>
      </w:r>
      <w:r w:rsidDel="00000000" w:rsidR="00000000" w:rsidRPr="00000000">
        <w:rPr>
          <w:b w:val="1"/>
          <w:bCs w:val="1"/>
          <w:rtl w:val="0"/>
        </w:rPr>
        <w:t xml:space="preserve">manage</w:t>
      </w:r>
      <w:r w:rsidDel="00000000" w:rsidR="00000000" w:rsidRPr="00000000">
        <w:rPr>
          <w:rtl w:val="0"/>
        </w:rPr>
        <w:t xml:space="preserve"> or </w:t>
      </w:r>
      <w:r w:rsidDel="00000000" w:rsidR="00000000" w:rsidRPr="00000000">
        <w:rPr>
          <w:b w:val="1"/>
          <w:bCs w:val="1"/>
          <w:rtl w:val="0"/>
        </w:rPr>
        <w:t xml:space="preserve">service</w:t>
      </w:r>
      <w:r w:rsidDel="00000000" w:rsidR="00000000" w:rsidRPr="00000000">
        <w:rPr>
          <w:rtl w:val="0"/>
        </w:rPr>
        <w:t xml:space="preserve"> these complex asset classes at scale, underpinned by superior technology and data. BlackRock and State Street are already positioned on opposite sides of this trade (manager vs servicer), while Invesco is working to defend and enhance its position as a diversified, independent manager.</w:t>
      </w:r>
    </w:p>
    <w:p w:rsidR="00000000" w:rsidDel="00000000" w:rsidP="00000000" w:rsidRDefault="00000000" w:rsidRPr="00000000" w14:paraId="00000181">
      <w:pPr>
        <w:rPr/>
      </w:pPr>
      <w:r w:rsidDel="00000000" w:rsidR="00000000" w:rsidRPr="00000000">
        <w:rPr>
          <w:rtl w:val="0"/>
        </w:rPr>
      </w:r>
    </w:p>
    <w:sectPr>
      <w:headerReference r:id="rId6" w:type="default"/>
      <w:pgSz w:h="16834" w:w="11909" w:orient="portrait"/>
      <w:pgMar w:bottom="689.6456692913421"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