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0B2F6B"/>
          <w:sz w:val="56"/>
          <w:szCs w:val="56"/>
        </w:rPr>
        <w:t xml:space="preserve">Security Scan Report</w:t>
      </w:r>
    </w:p>
    <w:p>
      <w:pPr>
        <w:spacing w:after="40"/>
      </w:pPr>
      <w:r>
        <w:rPr>
          <w:sz w:val="32"/>
          <w:szCs w:val="32"/>
        </w:rPr>
        <w:t xml:space="preserve">UOB IT PMO Kanban Board</w:t>
      </w:r>
    </w:p>
    <w:p>
      <w:pPr>
        <w:spacing w:after="300"/>
      </w:pPr>
      <w:r>
        <w:rPr>
          <w:color w:val="5B6A82"/>
          <w:sz w:val="22"/>
          <w:szCs w:val="22"/>
        </w:rPr>
        <w:t xml:space="preserve">Repository: tommy134040/test123</w:t>
      </w:r>
    </w:p>
    <w:p>
      <w:pPr>
        <w:spacing w:after="60"/>
      </w:pPr>
      <w:r>
        <w:rPr>
          <w:b/>
          <w:bCs/>
        </w:rPr>
        <w:t xml:space="preserve">Scan date: </w:t>
      </w:r>
      <w:r>
        <w:t xml:space="preserve">2026-10-06</w:t>
      </w:r>
    </w:p>
    <w:p>
      <w:pPr>
        <w:spacing w:after="60"/>
      </w:pPr>
      <w:r>
        <w:rPr>
          <w:b/>
          <w:bCs/>
        </w:rPr>
        <w:t xml:space="preserve">Scanner: </w:t>
      </w:r>
      <w:r>
        <w:t xml:space="preserve">security-scanner (.claude/agents/security-scanner.md)</w:t>
      </w:r>
    </w:p>
    <w:p>
      <w:pPr>
        <w:spacing w:after="60"/>
      </w:pPr>
      <w:r>
        <w:rPr>
          <w:b/>
          <w:bCs/>
        </w:rPr>
        <w:t xml:space="preserve">Findings: </w:t>
      </w:r>
      <w:r>
        <w:t xml:space="preserve">4 total — 1 Medium, 1 Low, 2 Informational</w:t>
      </w:r>
    </w:p>
    <w:p>
      <w:pPr>
        <w:spacing w:after="300" w:before="60"/>
      </w:pPr>
      <w:r>
        <w:rPr>
          <w:b/>
          <w:bCs/>
        </w:rPr>
        <w:t xml:space="preserve">Overall risk rating: </w:t>
      </w:r>
      <w:r>
        <w:rPr>
          <w:b/>
          <w:bCs/>
          <w:color w:val="B8860B"/>
        </w:rPr>
        <w:t xml:space="preserve">Low-Medium</w:t>
      </w:r>
      <w:r>
        <w:t xml:space="preserve">  (no Critical or High findings; the single Medium finding is a one-line configuration fix)</w:t>
      </w:r>
    </w:p>
    <w:p>
      <w:pPr>
        <w:pStyle w:val="Heading1"/>
        <w:spacing w:after="140" w:before="280"/>
      </w:pPr>
      <w:r>
        <w:t xml:space="preserve">Executive Summary</w:t>
      </w:r>
    </w:p>
    <w:p>
      <w:pPr>
        <w:spacing w:after="160"/>
      </w:pPr>
      <w:r>
        <w:t xml:space="preserve">This scan covered the UOB IT PMO Kanban board project end to end: the two standalone HTML applications (index.html and abc-it-pmo-kanban.html), both GitHub Actions workflows, and the project's own Claude Code commands and skills, which carry real tool-execution risk and are not typically in scope for a web-app scan. No Critical or High severity issues were found — in particular, every place user-supplied data (task titles, descriptions, assignees) is inserted into the page already passes through the project's escapeHtml() helper, including in the newer abc-it-pmo-kanban.html file's additional views, which had not been previously audited. No secrets, credentials, or unexpected external resource loads were found anywhere in the repository. The most actionable item is SEC-01: the CI workflow does not explicitly declare least-privilege permissions for its GitHub token — a one-line fix. The remaining findings are Low or Informational and reflect platform limitations (GitHub Pages cannot set security headers) or forward-looking notes rather than active defects.</w:t>
      </w:r>
    </w:p>
    <w:p>
      <w:pPr>
        <w:pStyle w:val="Heading1"/>
        <w:spacing w:after="140" w:before="280"/>
      </w:pPr>
      <w:r>
        <w:t xml:space="preserve">Scope and Methodology</w:t>
      </w:r>
    </w:p>
    <w:p>
      <w:pPr>
        <w:spacing w:after="160"/>
      </w:pPr>
      <w:r>
        <w:t xml:space="preserve">In scope: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index.html and abc-it-pmo-kanban.html — both standalone Kanban board applications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.github/workflows/deploy-pages.yml and ci.yml — the CI/CD and Pages-deploy surface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.claude/commands/publish-repo.md and .claude/agents/security-scanner.md — project-level Claude Code instructions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.agents/skills/* (frontend-design, ui-ux-pro-max, cybersecurity-analyst) — installed third-party skill content and scripts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README.md and other repository documentation, for leaked credentials or internal URLs</w:t>
      </w:r>
    </w:p>
    <w:p>
      <w:pPr>
        <w:spacing w:after="160"/>
      </w:pPr>
      <w:r>
        <w:t xml:space="preserve">Explicitly out of scope, and why: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Server-side testing (authentication, session management, input validation, database security) — this project has no server; it is a static, client-side-only application by design.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Infrastructure, network, and TLS configuration — hosting is entirely delegated to GitHub Pages.</w:t>
      </w:r>
    </w:p>
    <w:p>
      <w:pPr>
        <w:spacing w:after="160"/>
      </w:pPr>
      <w:r>
        <w:t xml:space="preserve">Checks performed: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Cross-site scripting: every innerHTML assignment traced to confirm all interpolated user-controlled values pass through escapeHtml().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Inline event handlers, eval(), new Function(), and string-argument setTimeout/setInterval.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Unexpected external resource loading (scripts, stylesheets, fetch/XHR targets, insecure http:// URLs).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Secret and credential leakage (API keys, private keys, AWS-style keys, hardcoded passwords/tokens).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FormSubmit trust boundary: error handling and the exact data sent.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GitHub Actions permissions scoping and workflow trigger configuration.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Re-verification of installed third-party skills for subprocess/eval/exec/exfiltration and prompt-injection phrasing.</w:t>
      </w:r>
    </w:p>
    <w:p>
      <w:pPr>
        <w:pStyle w:val="Heading1"/>
        <w:spacing w:after="140" w:before="280"/>
      </w:pPr>
      <w:r>
        <w:t xml:space="preserve">Findings Summary</w:t>
      </w:r>
    </w:p>
    <w:tbl>
      <w:tblPr>
        <w:tblW w:type="dxa" w:w="11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400"/>
        <w:gridCol w:w="1600"/>
        <w:gridCol w:w="2800"/>
        <w:gridCol w:w="2500"/>
      </w:tblGrid>
      <w:tr>
        <w:trPr>
          <w:tblHeader/>
        </w:trPr>
        <w:tc>
          <w:tcPr>
            <w:tcW w:type="dxa" w:w="1100"/>
            <w:shd w:fill="E8EEFC" w:val="clear"/>
            <w:vAlign w:val="center"/>
          </w:tcPr>
          <w:p>
            <w:r>
              <w:rPr>
                <w:b/>
                <w:bCs/>
              </w:rPr>
              <w:t xml:space="preserve">ID</w:t>
            </w:r>
          </w:p>
        </w:tc>
        <w:tc>
          <w:tcPr>
            <w:tcW w:type="dxa" w:w="3400"/>
            <w:shd w:fill="E8EEFC" w:val="clear"/>
            <w:vAlign w:val="center"/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1600"/>
            <w:shd w:fill="E8EEFC" w:val="clear"/>
            <w:vAlign w:val="center"/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dxa" w:w="2800"/>
            <w:shd w:fill="E8EEFC" w:val="clear"/>
            <w:vAlign w:val="center"/>
          </w:tcPr>
          <w:p>
            <w:r>
              <w:rPr>
                <w:b/>
                <w:bCs/>
              </w:rPr>
              <w:t xml:space="preserve">Category</w:t>
            </w:r>
          </w:p>
        </w:tc>
        <w:tc>
          <w:tcPr>
            <w:tcW w:type="dxa" w:w="2500"/>
            <w:shd w:fill="E8EEFC" w:val="clear"/>
            <w:vAlign w:val="center"/>
          </w:tcPr>
          <w:p>
            <w:r>
              <w:rPr>
                <w:b/>
                <w:bCs/>
              </w:rPr>
              <w:t xml:space="preserve">Location</w:t>
            </w:r>
          </w:p>
        </w:tc>
      </w:tr>
      <w:tr>
        <w:tc>
          <w:tcPr>
            <w:tcW w:type="dxa" w:w="1100"/>
            <w:vAlign w:val="center"/>
          </w:tcPr>
          <w:p>
            <w:r>
              <w:rPr>
                <w:b/>
                <w:bCs/>
              </w:rPr>
              <w:t xml:space="preserve">SEC-01</w:t>
            </w:r>
          </w:p>
        </w:tc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</w:rPr>
              <w:t xml:space="preserve">CI workflow has no explicit permissions block</w:t>
            </w:r>
          </w:p>
        </w:tc>
        <w:tc>
          <w:tcPr>
            <w:tcW w:type="dxa" w:w="1600"/>
            <w:shd w:fill="FFFFFF" w:val="clear"/>
            <w:vAlign w:val="center"/>
          </w:tcPr>
          <w:p>
            <w:r>
              <w:rPr>
                <w:b/>
                <w:bCs/>
                <w:color w:val="B8860B"/>
              </w:rPr>
              <w:t xml:space="preserve">Medium</w:t>
            </w:r>
          </w:p>
        </w:tc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</w:rPr>
              <w:t xml:space="preserve">Security Misconfiguration (OWASP A05:2021, CWE-276)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</w:rPr>
              <w:t xml:space="preserve">.github/workflows/ci.yml</w:t>
            </w:r>
          </w:p>
        </w:tc>
      </w:tr>
      <w:tr>
        <w:tc>
          <w:tcPr>
            <w:tcW w:type="dxa" w:w="1100"/>
            <w:vAlign w:val="center"/>
          </w:tcPr>
          <w:p>
            <w:r>
              <w:rPr>
                <w:b/>
                <w:bCs/>
              </w:rPr>
              <w:t xml:space="preserve">SEC-02</w:t>
            </w:r>
          </w:p>
        </w:tc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</w:rPr>
              <w:t xml:space="preserve">No clickjacking / framing protection on the deployed site</w:t>
            </w:r>
          </w:p>
        </w:tc>
        <w:tc>
          <w:tcPr>
            <w:tcW w:type="dxa" w:w="1600"/>
            <w:shd w:fill="FFFFFF" w:val="clear"/>
            <w:vAlign w:val="center"/>
          </w:tcPr>
          <w:p>
            <w:r>
              <w:rPr>
                <w:b/>
                <w:bCs/>
                <w:color w:val="5B6A82"/>
              </w:rPr>
              <w:t xml:space="preserve">Low</w:t>
            </w:r>
          </w:p>
        </w:tc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</w:rPr>
              <w:t xml:space="preserve">Security Misconfiguration — Missing Security Headers (OWASP A05:2021)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</w:rPr>
              <w:t xml:space="preserve">Deployment target: GitHub Pages (https://tommy134040.github.io/test123/)</w:t>
            </w:r>
          </w:p>
        </w:tc>
      </w:tr>
      <w:tr>
        <w:tc>
          <w:tcPr>
            <w:tcW w:type="dxa" w:w="1100"/>
            <w:vAlign w:val="center"/>
          </w:tcPr>
          <w:p>
            <w:r>
              <w:rPr>
                <w:b/>
                <w:bCs/>
              </w:rPr>
              <w:t xml:space="preserve">SEC-03</w:t>
            </w:r>
          </w:p>
        </w:tc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</w:rPr>
              <w:t xml:space="preserve">Third-party GitHub Actions pinned to version tags, not commit SHAs</w:t>
            </w:r>
          </w:p>
        </w:tc>
        <w:tc>
          <w:tcPr>
            <w:tcW w:type="dxa" w:w="1600"/>
            <w:shd w:fill="FFFFFF" w:val="clear"/>
            <w:vAlign w:val="center"/>
          </w:tcPr>
          <w:p>
            <w:r>
              <w:rPr>
                <w:b/>
                <w:bCs/>
                <w:color w:val="1D5FD6"/>
              </w:rPr>
              <w:t xml:space="preserve">Informational</w:t>
            </w:r>
          </w:p>
        </w:tc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</w:rPr>
              <w:t xml:space="preserve">Supply Chain Hardening (OWASP A08:2021)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</w:rPr>
              <w:t xml:space="preserve">.github/workflows/deploy-pages.yml, .github/workflows/ci.yml</w:t>
            </w:r>
          </w:p>
        </w:tc>
      </w:tr>
      <w:tr>
        <w:tc>
          <w:tcPr>
            <w:tcW w:type="dxa" w:w="1100"/>
            <w:vAlign w:val="center"/>
          </w:tcPr>
          <w:p>
            <w:r>
              <w:rPr>
                <w:b/>
                <w:bCs/>
              </w:rPr>
              <w:t xml:space="preserve">SEC-04</w:t>
            </w:r>
          </w:p>
        </w:tc>
        <w:tc>
          <w:tcPr>
            <w:tcW w:type="dxa" w:w="3400"/>
            <w:vAlign w:val="center"/>
          </w:tcPr>
          <w:p>
            <w:r>
              <w:rPr>
                <w:b w:val="false"/>
                <w:bCs w:val="false"/>
              </w:rPr>
              <w:t xml:space="preserve">Task data is sent to a third-party processor via FormSubmit</w:t>
            </w:r>
          </w:p>
        </w:tc>
        <w:tc>
          <w:tcPr>
            <w:tcW w:type="dxa" w:w="1600"/>
            <w:shd w:fill="FFFFFF" w:val="clear"/>
            <w:vAlign w:val="center"/>
          </w:tcPr>
          <w:p>
            <w:r>
              <w:rPr>
                <w:b/>
                <w:bCs/>
                <w:color w:val="1D5FD6"/>
              </w:rPr>
              <w:t xml:space="preserve">Informational</w:t>
            </w:r>
          </w:p>
        </w:tc>
        <w:tc>
          <w:tcPr>
            <w:tcW w:type="dxa" w:w="2800"/>
            <w:vAlign w:val="center"/>
          </w:tcPr>
          <w:p>
            <w:r>
              <w:rPr>
                <w:b w:val="false"/>
                <w:bCs w:val="false"/>
              </w:rPr>
              <w:t xml:space="preserve">Data Handling / Third-Party Data Exposure</w:t>
            </w:r>
          </w:p>
        </w:tc>
        <w:tc>
          <w:tcPr>
            <w:tcW w:type="dxa" w:w="2500"/>
            <w:vAlign w:val="center"/>
          </w:tcPr>
          <w:p>
            <w:r>
              <w:rPr>
                <w:b w:val="false"/>
                <w:bCs w:val="false"/>
              </w:rPr>
              <w:t xml:space="preserve">index.html and abc-it-pmo-kanban.html — notifyNewTask(), FORMSUBMIT_ENDPOINT</w:t>
            </w:r>
          </w:p>
        </w:tc>
      </w:tr>
    </w:tbl>
    <w:p>
      <w:pPr>
        <w:pStyle w:val="Heading1"/>
        <w:spacing w:after="140" w:before="280"/>
      </w:pPr>
      <w:r>
        <w:t xml:space="preserve">Detailed Findings</w:t>
      </w:r>
    </w:p>
    <w:p>
      <w:pPr>
        <w:pStyle w:val="Heading2"/>
        <w:spacing w:after="120" w:before="320"/>
      </w:pPr>
      <w:r>
        <w:rPr>
          <w:b/>
          <w:bCs/>
        </w:rPr>
        <w:t xml:space="preserve">SEC-01 — CI workflow has no explicit permissions block</w:t>
      </w:r>
    </w:p>
    <w:p>
      <w:pPr>
        <w:spacing w:after="140"/>
      </w:pPr>
      <w:r>
        <w:rPr>
          <w:b/>
          <w:bCs/>
        </w:rPr>
        <w:t xml:space="preserve">Severity: </w:t>
      </w:r>
      <w:r>
        <w:rPr>
          <w:b/>
          <w:bCs/>
          <w:color w:val="B8860B"/>
        </w:rPr>
        <w:t xml:space="preserve">Medium</w:t>
      </w:r>
      <w:r>
        <w:rPr>
          <w:b/>
          <w:bCs/>
        </w:rPr>
        <w:t xml:space="preserve">    Category: </w:t>
      </w:r>
      <w:r>
        <w:t xml:space="preserve">Security Misconfiguration (OWASP A05:2021, CWE-276)</w:t>
      </w:r>
    </w:p>
    <w:p>
      <w:pPr>
        <w:spacing w:after="60"/>
      </w:pPr>
      <w:r>
        <w:rPr>
          <w:b/>
          <w:bCs/>
        </w:rPr>
        <w:t xml:space="preserve">Location: </w:t>
      </w:r>
      <w:r>
        <w:t xml:space="preserve">.github/workflows/ci.yml</w:t>
      </w:r>
    </w:p>
    <w:p>
      <w:pPr>
        <w:spacing w:after="60" w:before="100"/>
      </w:pPr>
      <w:r>
        <w:rPr>
          <w:b/>
          <w:bCs/>
        </w:rPr>
        <w:t xml:space="preserve">Description</w:t>
      </w:r>
    </w:p>
    <w:p>
      <w:pPr>
        <w:spacing w:after="160"/>
      </w:pPr>
      <w:r>
        <w:t xml:space="preserve">ci.yml (triggered on every push and pull_request to main) declares no top-level permissions: block, unlike deploy-pages.yml, which correctly scopes to contents: read / pages: write / id-token: write. Without an explicit declaration, the job's GITHUB_TOKEN inherits whichever default permission level is configured for the repository rather than the minimum the job actually needs (it only checks out code and runs local Node/grep checks). This is a recognized configuration weakness: if a future step is added to this workflow without re-reviewing permissions, it silently inherits broader-than-necessary access.</w:t>
      </w:r>
    </w:p>
    <w:p>
      <w:pPr>
        <w:spacing w:after="60" w:before="60"/>
      </w:pPr>
      <w:r>
        <w:rPr>
          <w:b/>
          <w:bCs/>
        </w:rPr>
        <w:t xml:space="preserve">Recommended fix</w:t>
      </w:r>
    </w:p>
    <w:p>
      <w:pPr>
        <w:spacing w:after="160"/>
      </w:pPr>
      <w:r>
        <w:t xml:space="preserve">Add an explicit least-privilege permissions block to ci.yml:</w:t>
      </w:r>
    </w:p>
    <w:p>
      <w:pPr>
        <w:spacing w:after="160"/>
      </w:pPr>
      <w:r>
        <w:t xml:space="preserve">permissions:
  contents: read</w:t>
      </w:r>
    </w:p>
    <w:p>
      <w:pPr>
        <w:spacing w:after="160"/>
      </w:pPr>
      <w:r>
        <w:t xml:space="preserve">This job never writes to the repository, opens PRs, or calls the GitHub API, so read-only contents access is sufficient.</w:t>
      </w:r>
    </w:p>
    <w:p>
      <w:pPr>
        <w:pStyle w:val="Heading2"/>
        <w:spacing w:after="120" w:before="320"/>
      </w:pPr>
      <w:r>
        <w:rPr>
          <w:b/>
          <w:bCs/>
        </w:rPr>
        <w:t xml:space="preserve">SEC-02 — No clickjacking / framing protection on the deployed site</w:t>
      </w:r>
    </w:p>
    <w:p>
      <w:pPr>
        <w:spacing w:after="140"/>
      </w:pPr>
      <w:r>
        <w:rPr>
          <w:b/>
          <w:bCs/>
        </w:rPr>
        <w:t xml:space="preserve">Severity: </w:t>
      </w:r>
      <w:r>
        <w:rPr>
          <w:b/>
          <w:bCs/>
          <w:color w:val="5B6A82"/>
        </w:rPr>
        <w:t xml:space="preserve">Low</w:t>
      </w:r>
      <w:r>
        <w:rPr>
          <w:b/>
          <w:bCs/>
        </w:rPr>
        <w:t xml:space="preserve">    Category: </w:t>
      </w:r>
      <w:r>
        <w:t xml:space="preserve">Security Misconfiguration — Missing Security Headers (OWASP A05:2021)</w:t>
      </w:r>
    </w:p>
    <w:p>
      <w:pPr>
        <w:spacing w:after="60"/>
      </w:pPr>
      <w:r>
        <w:rPr>
          <w:b/>
          <w:bCs/>
        </w:rPr>
        <w:t xml:space="preserve">Location: </w:t>
      </w:r>
      <w:r>
        <w:t xml:space="preserve">Deployment target: GitHub Pages (https://tommy134040.github.io/test123/)</w:t>
      </w:r>
    </w:p>
    <w:p>
      <w:pPr>
        <w:spacing w:after="60" w:before="100"/>
      </w:pPr>
      <w:r>
        <w:rPr>
          <w:b/>
          <w:bCs/>
        </w:rPr>
        <w:t xml:space="preserve">Description</w:t>
      </w:r>
    </w:p>
    <w:p>
      <w:pPr>
        <w:spacing w:after="160"/>
      </w:pPr>
      <w:r>
        <w:t xml:space="preserve">GitHub Pages does not allow setting custom HTTP response headers (no Content-Security-Policy, X-Frame-Options, or frame-ancestors directive), so the deployed app can be embedded in a third-party &lt;iframe&gt;. Real-world impact is low here: the app has no authentication, no session, and no server-side state to hijack via clickjacking — a framed copy can only manipulate the same in-memory demo data a direct visit could.</w:t>
      </w:r>
    </w:p>
    <w:p>
      <w:pPr>
        <w:spacing w:after="60" w:before="60"/>
      </w:pPr>
      <w:r>
        <w:rPr>
          <w:b/>
          <w:bCs/>
        </w:rPr>
        <w:t xml:space="preserve">Recommended fix</w:t>
      </w:r>
    </w:p>
    <w:p>
      <w:pPr>
        <w:spacing w:after="160"/>
      </w:pPr>
      <w:r>
        <w:t xml:space="preserve">Platform limitation, not a code defect — there is no in-repo fix on GitHub Pages. If this app is ever extended to handle real credentials, sessions, or sensitive actions, move hosting to a platform that supports custom headers (e.g. Cloudflare Pages with a _headers file, or Netlify) and set Content-Security-Policy: frame-ancestors 'none' plus X-Frame-Options: DENY. As a low-cost defense-in-depth measure in the meantime, a client-side frame-busting check can be added to index.html (if (window.top !== window.self) { document.documentElement.style.display = 'none'; }).</w:t>
      </w:r>
    </w:p>
    <w:p>
      <w:pPr>
        <w:pStyle w:val="Heading2"/>
        <w:spacing w:after="120" w:before="320"/>
      </w:pPr>
      <w:r>
        <w:rPr>
          <w:b/>
          <w:bCs/>
        </w:rPr>
        <w:t xml:space="preserve">SEC-03 — Third-party GitHub Actions pinned to version tags, not commit SHAs</w:t>
      </w:r>
    </w:p>
    <w:p>
      <w:pPr>
        <w:spacing w:after="140"/>
      </w:pPr>
      <w:r>
        <w:rPr>
          <w:b/>
          <w:bCs/>
        </w:rPr>
        <w:t xml:space="preserve">Severity: </w:t>
      </w:r>
      <w:r>
        <w:rPr>
          <w:b/>
          <w:bCs/>
          <w:color w:val="1D5FD6"/>
        </w:rPr>
        <w:t xml:space="preserve">Informational</w:t>
      </w:r>
      <w:r>
        <w:rPr>
          <w:b/>
          <w:bCs/>
        </w:rPr>
        <w:t xml:space="preserve">    Category: </w:t>
      </w:r>
      <w:r>
        <w:t xml:space="preserve">Supply Chain Hardening (OWASP A08:2021)</w:t>
      </w:r>
    </w:p>
    <w:p>
      <w:pPr>
        <w:spacing w:after="60"/>
      </w:pPr>
      <w:r>
        <w:rPr>
          <w:b/>
          <w:bCs/>
        </w:rPr>
        <w:t xml:space="preserve">Location: </w:t>
      </w:r>
      <w:r>
        <w:t xml:space="preserve">.github/workflows/deploy-pages.yml, .github/workflows/ci.yml</w:t>
      </w:r>
    </w:p>
    <w:p>
      <w:pPr>
        <w:spacing w:after="60" w:before="100"/>
      </w:pPr>
      <w:r>
        <w:rPr>
          <w:b/>
          <w:bCs/>
        </w:rPr>
        <w:t xml:space="preserve">Description</w:t>
      </w:r>
    </w:p>
    <w:p>
      <w:pPr>
        <w:spacing w:after="160"/>
      </w:pPr>
      <w:r>
        <w:t xml:space="preserve">Both workflows reference actions/checkout@v4, actions/configure-pages@v5, actions/upload-pages-artifact@v3, and actions/deploy-pages@v4 by version tag. Tags can be moved by the publisher (intentionally or via a compromised account), so a pinned tag is a weaker supply-chain guarantee than a pinned commit SHA. Severity is kept at Informational because these are first-party actions/* Actions maintained by GitHub itself, a materially lower-risk publisher than an arbitrary third party.</w:t>
      </w:r>
    </w:p>
    <w:p>
      <w:pPr>
        <w:spacing w:after="60" w:before="60"/>
      </w:pPr>
      <w:r>
        <w:rPr>
          <w:b/>
          <w:bCs/>
        </w:rPr>
        <w:t xml:space="preserve">Recommended fix</w:t>
      </w:r>
    </w:p>
    <w:p>
      <w:pPr>
        <w:spacing w:after="160"/>
      </w:pPr>
      <w:r>
        <w:t xml:space="preserve">Optional hardening: pin each action to a full commit SHA (e.g. uses: actions/checkout@&lt;sha&gt; # v4.x.x) and update deliberately, or adopt a maintained tool (e.g. Dependabot's GitHub Actions ecosystem, or a SHA-pinning tool such as ratchet) to keep pins current without manual tracking.</w:t>
      </w:r>
    </w:p>
    <w:p>
      <w:pPr>
        <w:pStyle w:val="Heading2"/>
        <w:spacing w:after="120" w:before="320"/>
      </w:pPr>
      <w:r>
        <w:rPr>
          <w:b/>
          <w:bCs/>
        </w:rPr>
        <w:t xml:space="preserve">SEC-04 — Task data is sent to a third-party processor via FormSubmit</w:t>
      </w:r>
    </w:p>
    <w:p>
      <w:pPr>
        <w:spacing w:after="140"/>
      </w:pPr>
      <w:r>
        <w:rPr>
          <w:b/>
          <w:bCs/>
        </w:rPr>
        <w:t xml:space="preserve">Severity: </w:t>
      </w:r>
      <w:r>
        <w:rPr>
          <w:b/>
          <w:bCs/>
          <w:color w:val="1D5FD6"/>
        </w:rPr>
        <w:t xml:space="preserve">Informational</w:t>
      </w:r>
      <w:r>
        <w:rPr>
          <w:b/>
          <w:bCs/>
        </w:rPr>
        <w:t xml:space="preserve">    Category: </w:t>
      </w:r>
      <w:r>
        <w:t xml:space="preserve">Data Handling / Third-Party Data Exposure</w:t>
      </w:r>
    </w:p>
    <w:p>
      <w:pPr>
        <w:spacing w:after="60"/>
      </w:pPr>
      <w:r>
        <w:rPr>
          <w:b/>
          <w:bCs/>
        </w:rPr>
        <w:t xml:space="preserve">Location: </w:t>
      </w:r>
      <w:r>
        <w:t xml:space="preserve">index.html and abc-it-pmo-kanban.html — notifyNewTask(), FORMSUBMIT_ENDPOINT</w:t>
      </w:r>
    </w:p>
    <w:p>
      <w:pPr>
        <w:spacing w:after="60" w:before="100"/>
      </w:pPr>
      <w:r>
        <w:rPr>
          <w:b/>
          <w:bCs/>
        </w:rPr>
        <w:t xml:space="preserve">Description</w:t>
      </w:r>
    </w:p>
    <w:p>
      <w:pPr>
        <w:spacing w:after="160"/>
      </w:pPr>
      <w:r>
        <w:t xml:space="preserve">Every field in the Add Task form (title, description, assignee, project, category, due date, status) is transmitted over HTTPS to a third-party service (formsubmit.co) once FORMSUBMIT_ENDPOINT is pointed at a real address. This is the app's documented, intended behavior for a demo/training tool using only fictitious seed data, and the constant is currently a placeholder in both files. It is flagged here only as a forward-looking note: before this endpoint is ever pointed at a real recipient with real project data, the data flow to a third-party processor should be reviewed against whatever data-classification policy applies to that data.</w:t>
      </w:r>
    </w:p>
    <w:p>
      <w:pPr>
        <w:spacing w:after="60" w:before="60"/>
      </w:pPr>
      <w:r>
        <w:rPr>
          <w:b/>
          <w:bCs/>
        </w:rPr>
        <w:t xml:space="preserve">Recommended fix</w:t>
      </w:r>
    </w:p>
    <w:p>
      <w:pPr>
        <w:spacing w:after="160"/>
      </w:pPr>
      <w:r>
        <w:t xml:space="preserve">No code change required for current (demo) use. Before connecting a real email address: confirm the task data that will be entered is not classified in a way that restricts third-party processing, and consider adding a short in-UI notice near the Add Task form if real/sensitive data will ever be entered.</w:t>
      </w:r>
    </w:p>
    <w:p>
      <w:pPr>
        <w:pStyle w:val="Heading1"/>
        <w:spacing w:after="140" w:before="280"/>
      </w:pPr>
      <w:r>
        <w:t xml:space="preserve">Recommendations Summary</w:t>
      </w:r>
    </w:p>
    <w:p>
      <w:pPr>
        <w:spacing w:after="160"/>
      </w:pPr>
      <w:r>
        <w:t xml:space="preserve">Prioritized punch list, distinct from the per-finding fixes above: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Before the next push: add the permissions: contents: read block to ci.yml (SEC-01). Zero risk, one line.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urgent action needed on SEC-02 or SEC-03 — track them as backlog hardening items, revisited if this project ever moves beyond a demo (e.g. handles real user data or credentials).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SEC-04 requires no action today; treat it as a pre-condition to check before FORMSUBMIT_ENDPOINT is ever pointed at a real address with real task data.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Continue re-running this scan after any change that adds a new render path, a new workflow step, or a newly installed skill — this report reflects the repository as of 2026-10-06 only.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2026-10-06T07:35:23.341Z</dcterms:created>
  <dcterms:modified xsi:type="dcterms:W3CDTF">2026-10-06T07:35:23.341Z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